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8"/>
          <w:szCs w:val="28"/>
        </w:rPr>
      </w:pPr>
      <w:r>
        <w:rPr>
          <w:rFonts w:cs="Tahoma" w:ascii="Tahoma" w:hAnsi="Tahoma"/>
          <w:b/>
          <w:sz w:val="28"/>
          <w:szCs w:val="28"/>
        </w:rPr>
      </w:r>
    </w:p>
    <w:p>
      <w:pPr>
        <w:pStyle w:val="Normal"/>
        <w:jc w:val="center"/>
        <w:rPr>
          <w:rFonts w:ascii="Tahoma" w:hAnsi="Tahoma" w:cs="Tahoma"/>
          <w:b/>
          <w:b/>
          <w:sz w:val="28"/>
          <w:szCs w:val="28"/>
        </w:rPr>
      </w:pPr>
      <w:r>
        <w:rPr>
          <w:rFonts w:cs="Tahoma" w:ascii="Tahoma" w:hAnsi="Tahoma"/>
          <w:b/>
          <w:sz w:val="28"/>
          <w:szCs w:val="28"/>
        </w:rPr>
        <w:t>PCTO</w:t>
      </w:r>
    </w:p>
    <w:p>
      <w:pPr>
        <w:pStyle w:val="Normal"/>
        <w:jc w:val="center"/>
        <w:rPr>
          <w:rFonts w:ascii="Tahoma" w:hAnsi="Tahoma" w:cs="Tahoma"/>
          <w:b/>
          <w:b/>
        </w:rPr>
      </w:pPr>
      <w:r>
        <w:rPr>
          <w:rFonts w:cs="Tahoma" w:ascii="Tahoma" w:hAnsi="Tahoma"/>
          <w:b/>
        </w:rPr>
        <w:t>(Percorsi di Competenze Trasversali e di Orientamento)</w:t>
      </w:r>
    </w:p>
    <w:p>
      <w:pPr>
        <w:pStyle w:val="Normal"/>
        <w:jc w:val="center"/>
        <w:rPr>
          <w:i/>
          <w:i/>
          <w:iCs/>
          <w:color w:val="000000"/>
          <w:sz w:val="23"/>
          <w:szCs w:val="23"/>
        </w:rPr>
      </w:pPr>
      <w:r>
        <w:rPr>
          <w:i/>
          <w:iCs/>
          <w:color w:val="000000"/>
          <w:sz w:val="23"/>
          <w:szCs w:val="23"/>
        </w:rPr>
        <w:t>(ai sensi dell’articolo 1, comma 785, legge 30 dicembre 2018, n. 145)</w:t>
      </w:r>
    </w:p>
    <w:p>
      <w:pPr>
        <w:pStyle w:val="Normal"/>
        <w:rPr/>
      </w:pPr>
      <w:r>
        <w:rPr/>
      </w:r>
    </w:p>
    <w:p>
      <w:pPr>
        <w:pStyle w:val="Normal"/>
        <w:jc w:val="center"/>
        <w:rPr>
          <w:rFonts w:ascii="Arial" w:hAnsi="Arial" w:eastAsia="Times New Roman" w:cs="Times New Roman"/>
          <w:b/>
          <w:b/>
          <w:bCs/>
          <w:color w:val="000000"/>
          <w:sz w:val="28"/>
          <w:szCs w:val="28"/>
          <w:highlight w:val="white"/>
        </w:rPr>
      </w:pPr>
      <w:r>
        <w:rPr>
          <w:rFonts w:eastAsia="Times New Roman" w:cs="Times New Roman"/>
          <w:b/>
          <w:bCs/>
          <w:color w:val="000000"/>
          <w:sz w:val="28"/>
          <w:szCs w:val="28"/>
          <w:highlight w:val="white"/>
        </w:rPr>
        <w:t xml:space="preserve">Indirizzo: </w:t>
      </w:r>
      <w:r>
        <w:rPr>
          <w:rFonts w:eastAsia="Times New Roman" w:cs="Times New Roman" w:ascii="Arial" w:hAnsi="Arial"/>
          <w:b/>
          <w:bCs/>
          <w:color w:val="000000"/>
          <w:sz w:val="28"/>
          <w:szCs w:val="28"/>
          <w:highlight w:val="white"/>
        </w:rPr>
        <w:t>Manutenzione e Assistenza Tecnica</w:t>
      </w:r>
    </w:p>
    <w:p>
      <w:pPr>
        <w:pStyle w:val="Normal"/>
        <w:jc w:val="center"/>
        <w:rPr>
          <w:rFonts w:ascii="Liberation Serif" w:hAnsi="Liberation Serif" w:eastAsia="Times New Roman" w:cs="Times New Roman"/>
          <w:b/>
          <w:b/>
          <w:bCs/>
          <w:color w:val="000000"/>
          <w:sz w:val="28"/>
          <w:szCs w:val="28"/>
          <w:highlight w:val="white"/>
        </w:rPr>
      </w:pPr>
      <w:r>
        <w:rPr>
          <w:rFonts w:eastAsia="Times New Roman" w:cs="Times New Roman" w:ascii="Liberation Serif" w:hAnsi="Liberation Serif"/>
          <w:b/>
          <w:bCs/>
          <w:color w:val="000000"/>
          <w:sz w:val="28"/>
          <w:szCs w:val="28"/>
          <w:highlight w:val="white"/>
        </w:rPr>
        <w:t>Curvatura: ________________________</w:t>
      </w:r>
    </w:p>
    <w:p>
      <w:pPr>
        <w:pStyle w:val="Normal"/>
        <w:jc w:val="center"/>
        <w:rPr>
          <w:rFonts w:eastAsia="Times New Roman" w:cs="Times New Roman"/>
          <w:b/>
          <w:b/>
          <w:color w:val="000000"/>
          <w:sz w:val="20"/>
          <w:szCs w:val="20"/>
          <w:highlight w:val="white"/>
        </w:rPr>
      </w:pPr>
      <w:r>
        <w:rPr>
          <w:rFonts w:eastAsia="Times New Roman" w:cs="Times New Roman"/>
          <w:b/>
          <w:color w:val="000000"/>
          <w:sz w:val="20"/>
          <w:szCs w:val="20"/>
          <w:highlight w:val="white"/>
        </w:rPr>
      </w:r>
    </w:p>
    <w:p>
      <w:pPr>
        <w:pStyle w:val="Normal"/>
        <w:jc w:val="center"/>
        <w:rPr>
          <w:color w:val="000000"/>
        </w:rPr>
      </w:pPr>
      <w:r>
        <w:rPr>
          <w:rFonts w:eastAsia="Times New Roman" w:cs="Times New Roman"/>
          <w:b/>
          <w:color w:val="000000"/>
          <w:sz w:val="20"/>
          <w:szCs w:val="20"/>
          <w:highlight w:val="white"/>
        </w:rPr>
        <w:t>Codice ATECO ____________________________</w:t>
      </w:r>
    </w:p>
    <w:p>
      <w:pPr>
        <w:pStyle w:val="Normal"/>
        <w:jc w:val="center"/>
        <w:rPr>
          <w:b/>
          <w:b/>
          <w:bCs/>
        </w:rPr>
      </w:pPr>
      <w:r>
        <w:rPr>
          <w:b/>
          <w:bCs/>
        </w:rPr>
      </w:r>
    </w:p>
    <w:p>
      <w:pPr>
        <w:pStyle w:val="Normal"/>
        <w:jc w:val="center"/>
        <w:rPr>
          <w:b/>
          <w:b/>
          <w:bCs/>
          <w:sz w:val="28"/>
          <w:szCs w:val="28"/>
        </w:rPr>
      </w:pPr>
      <w:r>
        <w:rPr>
          <w:b/>
          <w:bCs/>
          <w:sz w:val="28"/>
          <w:szCs w:val="28"/>
        </w:rPr>
        <w:t>PROGETTO TRIENNALE</w:t>
      </w:r>
    </w:p>
    <w:p>
      <w:pPr>
        <w:pStyle w:val="Normal"/>
        <w:jc w:val="center"/>
        <w:rPr>
          <w:b/>
          <w:b/>
          <w:bCs/>
          <w:i/>
          <w:i/>
          <w:iCs/>
        </w:rPr>
      </w:pPr>
      <w:r>
        <w:rPr>
          <w:b/>
          <w:bCs/>
          <w:i/>
          <w:iCs/>
        </w:rPr>
        <w:t>A cura del CdC</w:t>
      </w:r>
    </w:p>
    <w:p>
      <w:pPr>
        <w:pStyle w:val="Normal"/>
        <w:jc w:val="center"/>
        <w:rPr>
          <w:b/>
          <w:b/>
          <w:bCs/>
          <w:i/>
          <w:i/>
          <w:iCs/>
        </w:rPr>
      </w:pPr>
      <w:r>
        <w:rPr>
          <w:b/>
          <w:bCs/>
          <w:i/>
          <w:iCs/>
        </w:rPr>
      </w:r>
    </w:p>
    <w:p>
      <w:pPr>
        <w:pStyle w:val="Normal"/>
        <w:jc w:val="center"/>
        <w:rPr/>
      </w:pPr>
      <w:r>
        <w:rPr>
          <w:b/>
          <w:bCs/>
        </w:rPr>
        <w:t>SEZIONE: _______</w:t>
      </w:r>
    </w:p>
    <w:p>
      <w:pPr>
        <w:pStyle w:val="Normal"/>
        <w:spacing w:lineRule="auto" w:line="240" w:before="0" w:after="0"/>
        <w:rPr>
          <w:rFonts w:ascii="Liberation Serif" w:hAnsi="Liberation Serif" w:eastAsia="Open Sans SemiBold" w:cs="Open Sans SemiBold"/>
          <w:b/>
          <w:b/>
          <w:color w:val="000000"/>
          <w:sz w:val="20"/>
          <w:szCs w:val="20"/>
          <w:highlight w:val="white"/>
        </w:rPr>
      </w:pPr>
      <w:r>
        <w:rPr>
          <w:rFonts w:eastAsia="Open Sans SemiBold" w:cs="Open Sans SemiBold" w:ascii="Liberation Serif" w:hAnsi="Liberation Serif"/>
          <w:b/>
          <w:color w:val="000000"/>
          <w:sz w:val="20"/>
          <w:szCs w:val="20"/>
          <w:highlight w:val="white"/>
        </w:rPr>
      </w:r>
    </w:p>
    <w:tbl>
      <w:tblPr>
        <w:tblStyle w:val="Grigliatabella"/>
        <w:tblW w:w="109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51"/>
        <w:gridCol w:w="2125"/>
        <w:gridCol w:w="3403"/>
        <w:gridCol w:w="3508"/>
      </w:tblGrid>
      <w:tr>
        <w:trPr/>
        <w:tc>
          <w:tcPr>
            <w:tcW w:w="1951"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A.S.</w:t>
            </w:r>
          </w:p>
        </w:tc>
        <w:tc>
          <w:tcPr>
            <w:tcW w:w="2125"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Classe</w:t>
            </w:r>
          </w:p>
        </w:tc>
        <w:tc>
          <w:tcPr>
            <w:tcW w:w="3403"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Coordinatore</w:t>
            </w:r>
          </w:p>
        </w:tc>
        <w:tc>
          <w:tcPr>
            <w:tcW w:w="3508"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Tutor</w:t>
            </w:r>
          </w:p>
        </w:tc>
      </w:tr>
      <w:tr>
        <w:trPr/>
        <w:tc>
          <w:tcPr>
            <w:tcW w:w="1951"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r>
        <w:trPr/>
        <w:tc>
          <w:tcPr>
            <w:tcW w:w="1951"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r>
        <w:trPr/>
        <w:tc>
          <w:tcPr>
            <w:tcW w:w="1951"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4"/>
                <w:szCs w:val="24"/>
                <w:highlight w:val="white"/>
                <w:lang w:val="it-IT" w:eastAsia="zh-CN" w:bidi="hi-IN"/>
              </w:rPr>
              <w:t xml:space="preserve">               </w:t>
            </w:r>
            <w:r>
              <w:rPr>
                <w:rFonts w:eastAsia="Open Sans" w:cs="Calibri"/>
                <w:b/>
                <w:bCs/>
                <w:color w:val="000000"/>
                <w:kern w:val="0"/>
                <w:sz w:val="24"/>
                <w:szCs w:val="24"/>
                <w:highlight w:val="white"/>
                <w:lang w:val="it-IT" w:eastAsia="zh-CN" w:bidi="hi-IN"/>
              </w:rPr>
              <w:t>/</w:t>
            </w:r>
          </w:p>
        </w:tc>
        <w:tc>
          <w:tcPr>
            <w:tcW w:w="2125"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403"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c>
          <w:tcPr>
            <w:tcW w:w="3508" w:type="dxa"/>
            <w:tcBorders/>
          </w:tcPr>
          <w:p>
            <w:pPr>
              <w:pStyle w:val="Normal"/>
              <w:widowControl/>
              <w:overflowPunct w:val="false"/>
              <w:spacing w:lineRule="auto" w:line="240" w:before="0" w:after="0"/>
              <w:jc w:val="left"/>
              <w:textAlignment w:val="auto"/>
              <w:outlineLvl w:val="9"/>
              <w:rPr>
                <w:rFonts w:eastAsia="Open Sans" w:cs="Calibri"/>
                <w:b/>
                <w:b/>
                <w:bCs/>
                <w:color w:val="000000"/>
                <w:sz w:val="24"/>
                <w:szCs w:val="24"/>
                <w:highlight w:val="white"/>
                <w:lang w:eastAsia="zh-CN" w:bidi="hi-IN"/>
              </w:rPr>
            </w:pPr>
            <w:r>
              <w:rPr>
                <w:rFonts w:eastAsia="Open Sans" w:cs="Calibri"/>
                <w:b/>
                <w:bCs/>
                <w:color w:val="000000"/>
                <w:kern w:val="0"/>
                <w:sz w:val="20"/>
                <w:szCs w:val="24"/>
                <w:highlight w:val="white"/>
                <w:lang w:val="it-IT" w:eastAsia="zh-CN" w:bidi="hi-IN"/>
              </w:rPr>
            </w:r>
          </w:p>
        </w:tc>
      </w:tr>
    </w:tbl>
    <w:p>
      <w:pPr>
        <w:pStyle w:val="Normal"/>
        <w:overflowPunct w:val="false"/>
        <w:spacing w:lineRule="auto" w:line="240" w:before="0" w:after="0"/>
        <w:textAlignment w:val="auto"/>
        <w:outlineLvl w:val="9"/>
        <w:rPr>
          <w:rFonts w:eastAsia="Open Sans" w:cs="Calibri"/>
          <w:b/>
          <w:b/>
          <w:bCs/>
          <w:color w:val="000000"/>
          <w:sz w:val="24"/>
          <w:szCs w:val="24"/>
          <w:highlight w:val="white"/>
          <w:lang w:eastAsia="zh-CN" w:bidi="hi-IN"/>
        </w:rPr>
      </w:pPr>
      <w:r>
        <w:br w:type="page"/>
      </w:r>
      <w:r>
        <w:rPr>
          <w:rFonts w:eastAsia="Open Sans" w:cs="Calibri"/>
          <w:b/>
          <w:bCs/>
          <w:color w:val="000000"/>
          <w:sz w:val="24"/>
          <w:szCs w:val="24"/>
          <w:highlight w:val="white"/>
          <w:lang w:eastAsia="zh-CN" w:bidi="hi-IN"/>
        </w:rPr>
        <w:t>Descrizione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I PCTO sono una modalità didattica che, attraverso l’esperienza pratica, aiuta ad ampliare e consolidare le competenze acquisite a scuola e testare sul campo le attitudini di studentesse e studenti, ad arricchirne la formazione e a orientarne il percorso di studio e, in futuro di lavoro, grazie a progetti in linea con il loro piano di studi.</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Storicamente gli Istituti Professionali sono impegnati nell'attivazione di percorsi di alternanza già a partire dagli anni Novanta. La legge 107 del 2015 (La Buona Scuola) ha introdotto l’“Alternanza scuola-lavoro”, obbligatoria per tutte le studentesse e gli studenti degli ultimi tre anni delle scuole superiori, licei compresi.</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È stata una delle innovazioni più significative in linea con il principio della scuola aperta e ha implicato un costante raccordo con la realtà produttiva del territorio. L'istituto negli anni ha quindi costruito un sistema stabile di rapporti con il mondo del lavoro.</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Il PCTO prevede anche lo svolgimento dei corsi sulla sicurezza per gli studenti in tirocinio, previsti dalla normativa vigente.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w:cs="Calibri"/>
          <w:color w:val="000000"/>
          <w:sz w:val="24"/>
          <w:szCs w:val="24"/>
          <w:highlight w:val="white"/>
          <w:lang w:eastAsia="zh-CN" w:bidi="hi-IN"/>
        </w:rPr>
        <w:t>Nell'ambito del progetto sono previste anche visite aziendali e uscite didattiche.</w:t>
      </w:r>
    </w:p>
    <w:p>
      <w:pPr>
        <w:pStyle w:val="Normal"/>
        <w:spacing w:lineRule="auto" w:line="240" w:before="0" w:after="57"/>
        <w:rPr>
          <w:rFonts w:ascii="Liberation Serif" w:hAnsi="Liberation Serif" w:eastAsia="Open Sans" w:cs="Calibri"/>
          <w:color w:val="000000"/>
          <w:sz w:val="24"/>
          <w:szCs w:val="24"/>
          <w:highlight w:val="white"/>
          <w:lang w:eastAsia="zh-CN" w:bidi="hi-IN"/>
        </w:rPr>
      </w:pPr>
      <w:r>
        <w:rPr>
          <w:rFonts w:eastAsia="Open Sans SemiBold" w:cs="Open Sans SemiBold"/>
          <w:b/>
          <w:color w:val="000000"/>
          <w:sz w:val="24"/>
          <w:szCs w:val="24"/>
          <w:highlight w:val="white"/>
        </w:rPr>
        <w:t>MODALITÀ</w:t>
      </w:r>
      <w:r>
        <w:rPr>
          <w:rFonts w:eastAsia="Open Sans" w:cs="Calibri" w:ascii="Liberation Serif" w:hAnsi="Liberation Serif"/>
          <w:color w:val="000000"/>
          <w:sz w:val="24"/>
          <w:szCs w:val="24"/>
          <w:lang w:eastAsia="zh-CN" w:bidi="hi-IN"/>
        </w:rPr>
        <w:t xml:space="preserve"> </w:t>
      </w:r>
      <w:r>
        <w:rPr>
          <w:rFonts w:eastAsia="Open Sans SemiBold" w:cs="Open Sans SemiBold"/>
          <w:b/>
          <w:color w:val="000000"/>
          <w:sz w:val="24"/>
          <w:szCs w:val="24"/>
          <w:highlight w:val="white"/>
        </w:rPr>
        <w:t>(barrare le voci pertinenti)</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Tirocinio presso Struttura Ospitante;</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Formazione a distanza (es: videoconferenze, webinar);</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Project Work;</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Incontri con le aziende;</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Seminari tenuti da esperti del settore;</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Visite guidate in azienda;</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Partecipazione a fiere del settore;</w:t>
      </w:r>
    </w:p>
    <w:p>
      <w:pPr>
        <w:pStyle w:val="Normal"/>
        <w:numPr>
          <w:ilvl w:val="0"/>
          <w:numId w:val="5"/>
        </w:numPr>
        <w:overflowPunct w:val="false"/>
        <w:spacing w:lineRule="auto" w:line="240" w:before="0" w:after="0"/>
        <w:ind w:left="284" w:right="113" w:hanging="0"/>
        <w:rPr>
          <w:rFonts w:eastAsia="Open Sans" w:cs="Open Sans"/>
          <w:color w:val="000000"/>
          <w:sz w:val="24"/>
          <w:szCs w:val="24"/>
          <w:highlight w:val="white"/>
        </w:rPr>
      </w:pPr>
      <w:r>
        <w:rPr>
          <w:rFonts w:eastAsia="Open Sans" w:cs="Open Sans"/>
          <w:color w:val="000000"/>
          <w:sz w:val="24"/>
          <w:szCs w:val="24"/>
          <w:highlight w:val="white"/>
        </w:rPr>
        <w:t>Attività di orientamento.</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Le attività di tirocinio possono essere svolte anche durante i periodi di sospensione dell'attività didattica</w:t>
      </w:r>
      <w:r>
        <w:rPr>
          <w:rFonts w:eastAsia="Open Sans" w:cs="Open Sans"/>
          <w:color w:val="000000"/>
          <w:sz w:val="24"/>
          <w:szCs w:val="24"/>
        </w:rPr>
        <w:t>.</w:t>
      </w:r>
    </w:p>
    <w:p>
      <w:pPr>
        <w:pStyle w:val="Normal"/>
        <w:spacing w:lineRule="auto" w:line="240" w:before="0" w:after="57"/>
        <w:rPr>
          <w:rFonts w:ascii="Liberation Serif" w:hAnsi="Liberation Serif" w:eastAsia="Open Sans SemiBold" w:cs="Open Sans SemiBold"/>
          <w:b/>
          <w:b/>
          <w:color w:val="000000"/>
          <w:sz w:val="24"/>
          <w:szCs w:val="24"/>
          <w:highlight w:val="white"/>
        </w:rPr>
      </w:pPr>
      <w:r>
        <w:rPr>
          <w:rFonts w:eastAsia="Open Sans SemiBold" w:cs="Open Sans SemiBold"/>
          <w:b/>
          <w:color w:val="000000"/>
          <w:sz w:val="24"/>
          <w:szCs w:val="24"/>
          <w:highlight w:val="white"/>
        </w:rPr>
        <w:t>SOGGETTI COINVOLTI</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Impresa (IMP), Enti/Associazioni, Consiglio di Classe (CdC), Dipartimenti.</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DESTINATARI DEL PROGETTO</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Alunni delle classi terze, quarte e quinte statali.</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DURATA DEL PROGETTO</w:t>
      </w:r>
    </w:p>
    <w:p>
      <w:pPr>
        <w:pStyle w:val="Normal"/>
        <w:spacing w:lineRule="auto" w:line="240" w:before="0" w:after="57"/>
        <w:rPr>
          <w:rFonts w:ascii="Liberation Serif" w:hAnsi="Liberation Serif" w:eastAsia="Open Sans" w:cs="Open Sans"/>
          <w:color w:val="000000"/>
          <w:sz w:val="24"/>
          <w:szCs w:val="24"/>
        </w:rPr>
      </w:pPr>
      <w:r>
        <w:rPr>
          <w:rFonts w:eastAsia="Open Sans" w:cs="Open Sans"/>
          <w:color w:val="000000"/>
          <w:sz w:val="24"/>
          <w:szCs w:val="24"/>
          <w:highlight w:val="white"/>
        </w:rPr>
        <w:t>Triennale, per un totale di almeno 210 ore</w:t>
      </w:r>
    </w:p>
    <w:p>
      <w:pPr>
        <w:pStyle w:val="Normal"/>
        <w:spacing w:lineRule="auto" w:line="240" w:before="0" w:after="57"/>
        <w:rPr>
          <w:rFonts w:ascii="Liberation Serif" w:hAnsi="Liberation Serif"/>
          <w:color w:val="000000"/>
          <w:sz w:val="24"/>
          <w:szCs w:val="24"/>
          <w:highlight w:val="white"/>
          <w:lang w:eastAsia="zh-CN" w:bidi="hi-IN"/>
        </w:rPr>
      </w:pPr>
      <w:r>
        <w:rPr>
          <w:rFonts w:eastAsia="Open Sans SemiBold" w:cs="Open Sans SemiBold"/>
          <w:b/>
          <w:color w:val="000000"/>
          <w:sz w:val="24"/>
          <w:szCs w:val="24"/>
          <w:highlight w:val="white"/>
          <w:lang w:eastAsia="zh-CN" w:bidi="hi-IN"/>
        </w:rPr>
        <w:t>FINALITÀ</w:t>
      </w:r>
      <w:r>
        <w:rPr>
          <w:rFonts w:eastAsia="Times New Roman" w:cs="Times New Roman"/>
          <w:b/>
          <w:color w:val="000000"/>
          <w:sz w:val="24"/>
          <w:szCs w:val="24"/>
          <w:highlight w:val="white"/>
          <w:lang w:eastAsia="zh-CN" w:bidi="hi-IN"/>
        </w:rPr>
        <w:t xml:space="preserve"> DEL PROGETTO:</w:t>
      </w:r>
    </w:p>
    <w:p>
      <w:pPr>
        <w:pStyle w:val="Normal"/>
        <w:widowControl w:val="false"/>
        <w:numPr>
          <w:ilvl w:val="0"/>
          <w:numId w:val="3"/>
        </w:numPr>
        <w:tabs>
          <w:tab w:val="clear" w:pos="708"/>
          <w:tab w:val="left" w:pos="280" w:leader="none"/>
        </w:tabs>
        <w:overflowPunct w:val="false"/>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Costruire un sistema stabile di rapporti fra la scuola e il mondo del lavoro;</w:t>
      </w:r>
    </w:p>
    <w:p>
      <w:pPr>
        <w:pStyle w:val="Normal"/>
        <w:widowControl w:val="false"/>
        <w:numPr>
          <w:ilvl w:val="0"/>
          <w:numId w:val="3"/>
        </w:numPr>
        <w:tabs>
          <w:tab w:val="clear" w:pos="708"/>
          <w:tab w:val="left" w:pos="280" w:leader="none"/>
        </w:tabs>
        <w:overflowPunct w:val="false"/>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Utilizzare modalità didattiche innovative che, attraverso esperienze in specifiche realtà  di lavoro, consentano di conseguire obiettivi formativi tradizionalmente considerati di competenza del mondo dell'Istruzione;</w:t>
      </w:r>
    </w:p>
    <w:p>
      <w:pPr>
        <w:pStyle w:val="Normal"/>
        <w:widowControl w:val="false"/>
        <w:numPr>
          <w:ilvl w:val="0"/>
          <w:numId w:val="3"/>
        </w:numPr>
        <w:tabs>
          <w:tab w:val="clear" w:pos="708"/>
          <w:tab w:val="left" w:pos="280" w:leader="none"/>
        </w:tabs>
        <w:overflowPunct w:val="false"/>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Identificare unità formative e le relative competenze acquisibili attraverso esperienze di lavoro;</w:t>
      </w:r>
    </w:p>
    <w:p>
      <w:pPr>
        <w:pStyle w:val="Normal"/>
        <w:widowControl w:val="false"/>
        <w:numPr>
          <w:ilvl w:val="0"/>
          <w:numId w:val="3"/>
        </w:numPr>
        <w:tabs>
          <w:tab w:val="clear" w:pos="708"/>
          <w:tab w:val="left" w:pos="280" w:leader="none"/>
        </w:tabs>
        <w:overflowPunct w:val="false"/>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Rendere più percepibile il lavoro ai giovani e proporre una cultura del lavoro;</w:t>
      </w:r>
    </w:p>
    <w:p>
      <w:pPr>
        <w:pStyle w:val="Normal"/>
        <w:widowControl w:val="false"/>
        <w:numPr>
          <w:ilvl w:val="0"/>
          <w:numId w:val="3"/>
        </w:numPr>
        <w:tabs>
          <w:tab w:val="clear" w:pos="708"/>
          <w:tab w:val="left" w:pos="280" w:leader="none"/>
        </w:tabs>
        <w:overflowPunct w:val="false"/>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Facilitare le scelte di orientamento dei giovani sostenendo un ingresso consapevole degli allievi nel mondo del lavoro mediante l'acquisizione di competenze spendibili nel mercato del lavoro;</w:t>
      </w:r>
    </w:p>
    <w:p>
      <w:pPr>
        <w:pStyle w:val="Normal"/>
        <w:numPr>
          <w:ilvl w:val="0"/>
          <w:numId w:val="3"/>
        </w:numPr>
        <w:tabs>
          <w:tab w:val="clear" w:pos="708"/>
          <w:tab w:val="left" w:pos="280" w:leader="none"/>
        </w:tabs>
        <w:overflowPunct w:val="false"/>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Sensibilizzare i docenti alla didattica orientativa lavorando in sinergia col mondo del lavoro.</w:t>
      </w:r>
    </w:p>
    <w:p>
      <w:pPr>
        <w:pStyle w:val="Normal"/>
        <w:tabs>
          <w:tab w:val="clear" w:pos="708"/>
          <w:tab w:val="left" w:pos="280" w:leader="none"/>
        </w:tabs>
        <w:overflowPunct w:val="false"/>
        <w:snapToGrid w:val="false"/>
        <w:spacing w:lineRule="auto" w:line="240" w:before="0" w:after="57"/>
        <w:ind w:left="340" w:hanging="340"/>
        <w:rPr>
          <w:rFonts w:ascii="Liberation Serif" w:hAnsi="Liberation Serif" w:eastAsia="Times New Roman" w:cs="Times New Roman"/>
          <w:color w:val="000000"/>
          <w:sz w:val="24"/>
          <w:szCs w:val="24"/>
          <w:highlight w:val="white"/>
        </w:rPr>
      </w:pPr>
      <w:r>
        <w:rPr>
          <w:rFonts w:eastAsia="Times New Roman" w:cs="Times New Roman" w:ascii="Liberation Serif" w:hAnsi="Liberation Serif"/>
          <w:color w:val="000000"/>
          <w:sz w:val="24"/>
          <w:szCs w:val="24"/>
          <w:highlight w:val="white"/>
        </w:rPr>
      </w:r>
    </w:p>
    <w:p>
      <w:pPr>
        <w:pStyle w:val="Normal"/>
        <w:tabs>
          <w:tab w:val="clear" w:pos="708"/>
          <w:tab w:val="left" w:pos="280" w:leader="none"/>
        </w:tabs>
        <w:overflowPunct w:val="false"/>
        <w:snapToGrid w:val="false"/>
        <w:spacing w:lineRule="auto" w:line="240" w:before="0" w:after="57"/>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Gli obiettivi dell’esperienza sono coerenti con gli obiettivi del profilo educativo, formativo e professionale dell’indirizzo di studi (potrebbero essere non tutti perseguibili in relazione alla tipologia dell’esperienza proposta):</w:t>
      </w:r>
    </w:p>
    <w:p>
      <w:pPr>
        <w:pStyle w:val="Normal"/>
        <w:numPr>
          <w:ilvl w:val="0"/>
          <w:numId w:val="4"/>
        </w:numPr>
        <w:tabs>
          <w:tab w:val="clear" w:pos="708"/>
          <w:tab w:val="left" w:pos="543" w:leader="none"/>
        </w:tabs>
        <w:overflowPunct w:val="false"/>
        <w:snapToGrid w:val="false"/>
        <w:spacing w:lineRule="auto" w:line="240" w:before="0" w:after="57"/>
        <w:ind w:left="397"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Acquisizione di el</w:t>
      </w:r>
      <w:r>
        <w:rPr>
          <w:rFonts w:eastAsia="Times New Roman" w:cs="Times New Roman"/>
          <w:color w:val="000000"/>
          <w:sz w:val="24"/>
          <w:szCs w:val="24"/>
          <w:highlight w:val="white"/>
          <w:lang w:eastAsia="zh-CN" w:bidi="hi-IN"/>
        </w:rPr>
        <w:t>ementi di orientamento professionale</w:t>
      </w:r>
    </w:p>
    <w:p>
      <w:pPr>
        <w:pStyle w:val="Normal"/>
        <w:numPr>
          <w:ilvl w:val="0"/>
          <w:numId w:val="4"/>
        </w:numPr>
        <w:tabs>
          <w:tab w:val="clear" w:pos="708"/>
          <w:tab w:val="left" w:pos="543" w:leader="none"/>
        </w:tabs>
        <w:overflowPunct w:val="false"/>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Arricchimento delle capacità relazionali</w:t>
      </w:r>
    </w:p>
    <w:p>
      <w:pPr>
        <w:pStyle w:val="Normal"/>
        <w:numPr>
          <w:ilvl w:val="0"/>
          <w:numId w:val="4"/>
        </w:numPr>
        <w:tabs>
          <w:tab w:val="clear" w:pos="708"/>
          <w:tab w:val="left" w:pos="543" w:leader="none"/>
        </w:tabs>
        <w:overflowPunct w:val="false"/>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Potenziamento del senso civico dello studente</w:t>
      </w:r>
    </w:p>
    <w:p>
      <w:pPr>
        <w:pStyle w:val="Normal"/>
        <w:numPr>
          <w:ilvl w:val="0"/>
          <w:numId w:val="4"/>
        </w:numPr>
        <w:tabs>
          <w:tab w:val="clear" w:pos="708"/>
          <w:tab w:val="left" w:pos="543" w:leader="none"/>
        </w:tabs>
        <w:overflowPunct w:val="false"/>
        <w:snapToGrid w:val="false"/>
        <w:spacing w:lineRule="auto" w:line="240" w:before="0" w:after="57"/>
        <w:ind w:left="397" w:hanging="3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Sviluppo della autonomia dello studente</w:t>
      </w:r>
    </w:p>
    <w:p>
      <w:pPr>
        <w:pStyle w:val="Normal"/>
        <w:numPr>
          <w:ilvl w:val="0"/>
          <w:numId w:val="4"/>
        </w:numPr>
        <w:tabs>
          <w:tab w:val="clear" w:pos="708"/>
          <w:tab w:val="left" w:pos="543" w:leader="none"/>
        </w:tabs>
        <w:overflowPunct w:val="false"/>
        <w:snapToGrid w:val="false"/>
        <w:spacing w:lineRule="auto" w:line="240" w:before="0" w:after="57"/>
        <w:ind w:left="397" w:hanging="3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lang w:eastAsia="zh-CN" w:bidi="hi-IN"/>
        </w:rPr>
        <w:t>Integrazione delle c</w:t>
      </w:r>
      <w:r>
        <w:rPr>
          <w:rFonts w:eastAsia="Times New Roman" w:cs="Times New Roman"/>
          <w:color w:val="000000"/>
          <w:sz w:val="24"/>
          <w:szCs w:val="24"/>
          <w:highlight w:val="white"/>
        </w:rPr>
        <w:t>onoscenze teoriche con quelle operative</w:t>
      </w:r>
    </w:p>
    <w:p>
      <w:pPr>
        <w:pStyle w:val="Normal"/>
        <w:spacing w:lineRule="auto" w:line="240" w:before="0" w:after="57"/>
        <w:rPr>
          <w:rFonts w:ascii="Liberation Serif" w:hAnsi="Liberation Serif" w:eastAsia="Times New Roman" w:cs="Times New Roman"/>
          <w:b/>
          <w:b/>
          <w:color w:val="000000"/>
          <w:sz w:val="24"/>
          <w:szCs w:val="24"/>
          <w:highlight w:val="white"/>
        </w:rPr>
      </w:pPr>
      <w:r>
        <w:rPr>
          <w:rFonts w:eastAsia="Times New Roman" w:cs="Times New Roman"/>
          <w:b/>
          <w:color w:val="000000"/>
          <w:sz w:val="24"/>
          <w:szCs w:val="24"/>
          <w:highlight w:val="white"/>
        </w:rPr>
        <w:t>Criteri di Scelta delle Aziende Partecipanti:</w:t>
      </w:r>
    </w:p>
    <w:p>
      <w:pPr>
        <w:pStyle w:val="ListParagraph"/>
        <w:numPr>
          <w:ilvl w:val="0"/>
          <w:numId w:val="6"/>
        </w:numPr>
        <w:tabs>
          <w:tab w:val="clear" w:pos="708"/>
        </w:tabs>
        <w:overflowPunct w:val="false"/>
        <w:snapToGrid w:val="false"/>
        <w:spacing w:lineRule="auto" w:line="240" w:before="0" w:after="57"/>
        <w:ind w:left="426" w:hanging="360"/>
        <w:contextualSpacing/>
        <w:rPr>
          <w:rFonts w:ascii="Liberation Serif" w:hAnsi="Liberation Serif" w:eastAsia="Times New Roman"/>
          <w:color w:val="000000"/>
          <w:sz w:val="24"/>
          <w:szCs w:val="24"/>
          <w:highlight w:val="white"/>
        </w:rPr>
      </w:pPr>
      <w:r>
        <w:rPr>
          <w:rFonts w:eastAsia="Times New Roman"/>
          <w:color w:val="000000"/>
          <w:sz w:val="24"/>
          <w:szCs w:val="24"/>
          <w:highlight w:val="white"/>
        </w:rPr>
        <w:t>Corrispondenza del tipo di attività (settore ATECO) con gli obiettivi formativi contenuti nel piano formativo del tirocinante.</w:t>
      </w:r>
    </w:p>
    <w:p>
      <w:pPr>
        <w:pStyle w:val="ListParagraph"/>
        <w:numPr>
          <w:ilvl w:val="0"/>
          <w:numId w:val="6"/>
        </w:numPr>
        <w:tabs>
          <w:tab w:val="clear" w:pos="708"/>
        </w:tabs>
        <w:overflowPunct w:val="false"/>
        <w:snapToGrid w:val="false"/>
        <w:spacing w:lineRule="auto" w:line="240" w:before="0" w:after="57"/>
        <w:ind w:left="426" w:hanging="360"/>
        <w:contextualSpacing/>
        <w:rPr>
          <w:rFonts w:ascii="Liberation Serif" w:hAnsi="Liberation Serif" w:eastAsia="Times New Roman"/>
          <w:color w:val="000000"/>
          <w:sz w:val="24"/>
          <w:szCs w:val="24"/>
          <w:highlight w:val="white"/>
        </w:rPr>
      </w:pPr>
      <w:r>
        <w:rPr>
          <w:rFonts w:eastAsia="Times New Roman"/>
          <w:color w:val="000000"/>
          <w:sz w:val="24"/>
          <w:szCs w:val="24"/>
          <w:highlight w:val="white"/>
        </w:rPr>
        <w:t>Disponibilità dell’azienda ad accogliere uno o più tirocinanti nei periodi previsti.</w:t>
      </w:r>
    </w:p>
    <w:p>
      <w:pPr>
        <w:pStyle w:val="ListParagraph"/>
        <w:numPr>
          <w:ilvl w:val="0"/>
          <w:numId w:val="6"/>
        </w:numPr>
        <w:tabs>
          <w:tab w:val="clear" w:pos="708"/>
        </w:tabs>
        <w:overflowPunct w:val="false"/>
        <w:snapToGrid w:val="false"/>
        <w:spacing w:lineRule="auto" w:line="240" w:before="0" w:after="57"/>
        <w:ind w:left="426" w:hanging="360"/>
        <w:contextualSpacing/>
        <w:rPr>
          <w:rFonts w:ascii="Liberation Serif" w:hAnsi="Liberation Serif" w:eastAsia="Times New Roman"/>
          <w:color w:val="000000"/>
          <w:sz w:val="24"/>
          <w:szCs w:val="24"/>
          <w:highlight w:val="white"/>
        </w:rPr>
      </w:pPr>
      <w:r>
        <w:rPr>
          <w:rFonts w:eastAsia="Times New Roman"/>
          <w:color w:val="000000"/>
          <w:sz w:val="24"/>
          <w:szCs w:val="24"/>
          <w:highlight w:val="white"/>
        </w:rPr>
        <w:t>Distanza della sede di lavoro rispetto al domicilio del tirocinante e dei collegamenti con mezzi pubblici.</w:t>
      </w:r>
    </w:p>
    <w:p>
      <w:pPr>
        <w:pStyle w:val="ListParagraph"/>
        <w:numPr>
          <w:ilvl w:val="0"/>
          <w:numId w:val="6"/>
        </w:numPr>
        <w:tabs>
          <w:tab w:val="clear" w:pos="708"/>
        </w:tabs>
        <w:overflowPunct w:val="false"/>
        <w:snapToGrid w:val="false"/>
        <w:spacing w:lineRule="auto" w:line="240" w:before="0" w:after="57"/>
        <w:ind w:left="426" w:hanging="360"/>
        <w:contextualSpacing/>
        <w:rPr>
          <w:rFonts w:ascii="Liberation Serif" w:hAnsi="Liberation Serif" w:eastAsia="Times New Roman"/>
          <w:color w:val="000000"/>
          <w:sz w:val="24"/>
          <w:szCs w:val="24"/>
          <w:highlight w:val="white"/>
        </w:rPr>
      </w:pPr>
      <w:r>
        <w:rPr>
          <w:rFonts w:eastAsia="Times New Roman"/>
          <w:color w:val="000000"/>
          <w:sz w:val="24"/>
          <w:szCs w:val="24"/>
          <w:highlight w:val="white"/>
        </w:rPr>
        <w:t>Continuità nel prosieguo della formazione del tirocinante presso la stessa azienda.</w:t>
      </w:r>
    </w:p>
    <w:p>
      <w:pPr>
        <w:pStyle w:val="ListParagraph"/>
        <w:numPr>
          <w:ilvl w:val="0"/>
          <w:numId w:val="6"/>
        </w:numPr>
        <w:tabs>
          <w:tab w:val="clear" w:pos="708"/>
        </w:tabs>
        <w:overflowPunct w:val="false"/>
        <w:snapToGrid w:val="false"/>
        <w:spacing w:lineRule="auto" w:line="240" w:before="0" w:after="57"/>
        <w:ind w:left="426" w:hanging="360"/>
        <w:contextualSpacing/>
        <w:rPr>
          <w:rFonts w:ascii="Liberation Serif" w:hAnsi="Liberation Serif" w:eastAsia="Times New Roman"/>
          <w:color w:val="000000"/>
          <w:sz w:val="24"/>
          <w:szCs w:val="24"/>
          <w:highlight w:val="white"/>
        </w:rPr>
      </w:pPr>
      <w:r>
        <w:rPr>
          <w:rFonts w:eastAsia="Times New Roman"/>
          <w:color w:val="000000"/>
          <w:sz w:val="24"/>
          <w:szCs w:val="24"/>
          <w:highlight w:val="white"/>
        </w:rPr>
        <w:t>Coerenza della proposta formativa con gli obiettivi del profilo educativo, formativo e professionale dell’indirizzo di studi.</w:t>
      </w:r>
    </w:p>
    <w:p>
      <w:pPr>
        <w:pStyle w:val="ListParagraph"/>
        <w:numPr>
          <w:ilvl w:val="0"/>
          <w:numId w:val="6"/>
        </w:numPr>
        <w:tabs>
          <w:tab w:val="clear" w:pos="708"/>
        </w:tabs>
        <w:overflowPunct w:val="false"/>
        <w:snapToGrid w:val="false"/>
        <w:spacing w:lineRule="auto" w:line="240" w:before="0" w:after="57"/>
        <w:ind w:left="426" w:hanging="360"/>
        <w:contextualSpacing/>
        <w:rPr>
          <w:rFonts w:ascii="Liberation Serif" w:hAnsi="Liberation Serif" w:eastAsia="Times New Roman"/>
          <w:color w:val="000000"/>
          <w:sz w:val="24"/>
          <w:szCs w:val="24"/>
          <w:highlight w:val="white"/>
        </w:rPr>
      </w:pPr>
      <w:r>
        <w:rPr>
          <w:rFonts w:eastAsia="Times New Roman"/>
          <w:color w:val="000000"/>
          <w:sz w:val="24"/>
          <w:szCs w:val="24"/>
          <w:highlight w:val="white"/>
        </w:rPr>
        <w:t>Coerenza della proposta formativa con le finalità educative esplicitate nel PTOF d’Istituto.</w:t>
      </w:r>
    </w:p>
    <w:p>
      <w:pPr>
        <w:pStyle w:val="Normal"/>
        <w:spacing w:lineRule="auto" w:line="240" w:before="0" w:after="57"/>
        <w:rPr>
          <w:rFonts w:eastAsia="Times New Roman" w:cs="Times New Roman"/>
          <w:color w:val="000000"/>
          <w:sz w:val="24"/>
          <w:szCs w:val="24"/>
          <w:highlight w:val="white"/>
        </w:rPr>
      </w:pPr>
      <w:r>
        <w:rPr>
          <w:rFonts w:eastAsia="Times New Roman" w:cs="Times New Roman"/>
          <w:b/>
          <w:color w:val="000000"/>
          <w:sz w:val="24"/>
          <w:szCs w:val="24"/>
          <w:highlight w:val="white"/>
        </w:rPr>
        <w:t>ATTIVITÀ PREVISTE</w:t>
      </w:r>
      <w:r>
        <w:rPr>
          <w:rFonts w:eastAsia="Times New Roman" w:cs="Times New Roman"/>
          <w:color w:val="000000"/>
          <w:sz w:val="24"/>
          <w:szCs w:val="24"/>
          <w:highlight w:val="white"/>
        </w:rPr>
        <w:t>:</w:t>
      </w:r>
    </w:p>
    <w:p>
      <w:pPr>
        <w:pStyle w:val="Normal"/>
        <w:spacing w:lineRule="auto" w:line="240" w:before="0" w:after="57"/>
        <w:rPr>
          <w:rFonts w:ascii="Liberation Serif" w:hAnsi="Liberation Serif"/>
          <w:color w:val="000000"/>
          <w:sz w:val="24"/>
          <w:szCs w:val="24"/>
        </w:rPr>
      </w:pPr>
      <w:r>
        <w:rPr>
          <w:rFonts w:ascii="Liberation Serif" w:hAnsi="Liberation Serif"/>
          <w:color w:val="000000"/>
          <w:sz w:val="24"/>
          <w:szCs w:val="24"/>
        </w:rPr>
        <w:t>Il calendario con il dettaglio delle attività previste è allegato al presente progetto (Prospetto Attività Annuali).</w:t>
      </w:r>
    </w:p>
    <w:p>
      <w:pPr>
        <w:pStyle w:val="Normal"/>
        <w:spacing w:lineRule="auto" w:line="240" w:before="0" w:after="57"/>
        <w:rPr>
          <w:rFonts w:ascii="Liberation Serif" w:hAnsi="Liberation Serif"/>
          <w:b/>
          <w:b/>
          <w:bCs/>
          <w:sz w:val="24"/>
          <w:szCs w:val="24"/>
        </w:rPr>
      </w:pPr>
      <w:r>
        <w:rPr>
          <w:b/>
          <w:bCs/>
          <w:sz w:val="24"/>
          <w:szCs w:val="24"/>
        </w:rPr>
        <w:t>CORSI DI FORMAZIONE SULLA SICUREZZA:</w:t>
      </w:r>
    </w:p>
    <w:p>
      <w:pPr>
        <w:pStyle w:val="Normal"/>
        <w:spacing w:lineRule="auto" w:line="240" w:before="0" w:after="57"/>
        <w:rPr>
          <w:rFonts w:ascii="Liberation Serif" w:hAnsi="Liberation Serif"/>
          <w:sz w:val="24"/>
          <w:szCs w:val="24"/>
        </w:rPr>
      </w:pPr>
      <w:r>
        <w:rPr>
          <w:sz w:val="24"/>
          <w:szCs w:val="24"/>
        </w:rPr>
        <w:t>- classi II: n. 4 formazione di base sulla sicurezza.</w:t>
      </w:r>
    </w:p>
    <w:p>
      <w:pPr>
        <w:pStyle w:val="Normal"/>
        <w:spacing w:lineRule="auto" w:line="240" w:before="0" w:after="57"/>
        <w:rPr>
          <w:rFonts w:ascii="Liberation Serif" w:hAnsi="Liberation Serif"/>
          <w:sz w:val="24"/>
          <w:szCs w:val="24"/>
        </w:rPr>
      </w:pPr>
      <w:r>
        <w:rPr>
          <w:sz w:val="24"/>
          <w:szCs w:val="24"/>
        </w:rPr>
        <w:t>- classi III: n. 8 ore di formazione di base e specifica sulla sicurezza.</w:t>
      </w:r>
    </w:p>
    <w:p>
      <w:pPr>
        <w:pStyle w:val="Normal"/>
        <w:spacing w:lineRule="auto" w:line="240" w:before="0" w:after="57"/>
        <w:rPr>
          <w:rFonts w:ascii="Liberation Serif" w:hAnsi="Liberation Serif"/>
          <w:sz w:val="24"/>
          <w:szCs w:val="24"/>
        </w:rPr>
      </w:pPr>
      <w:r>
        <w:rPr>
          <w:rFonts w:eastAsia="Open Sans SemiBold" w:cs="Open Sans SemiBold"/>
          <w:b/>
          <w:color w:val="000000"/>
          <w:sz w:val="24"/>
          <w:szCs w:val="24"/>
          <w:highlight w:val="white"/>
        </w:rPr>
        <w:t>MODALITÀ DI VERIFICA E VALUTAZIONE</w:t>
      </w:r>
    </w:p>
    <w:p>
      <w:pPr>
        <w:pStyle w:val="Normal"/>
        <w:spacing w:lineRule="auto" w:line="240" w:before="0" w:after="57"/>
        <w:rPr>
          <w:rFonts w:ascii="Liberation Serif" w:hAnsi="Liberation Serif"/>
          <w:sz w:val="24"/>
          <w:szCs w:val="24"/>
        </w:rPr>
      </w:pPr>
      <w:r>
        <w:rPr>
          <w:rFonts w:eastAsia="Open Sans" w:cs="Open Sans"/>
          <w:color w:val="000000"/>
          <w:sz w:val="24"/>
          <w:szCs w:val="24"/>
          <w:highlight w:val="white"/>
        </w:rPr>
        <w:t>L'istituto ha previsto di inserire nella pagella dello studente un voto specifico relativo al PCTO.</w:t>
      </w:r>
    </w:p>
    <w:p>
      <w:pPr>
        <w:pStyle w:val="Normal"/>
        <w:spacing w:lineRule="auto" w:line="240" w:before="0" w:after="57"/>
        <w:rPr>
          <w:rFonts w:ascii="Liberation Serif" w:hAnsi="Liberation Serif"/>
          <w:color w:val="000000"/>
          <w:sz w:val="24"/>
          <w:szCs w:val="24"/>
        </w:rPr>
      </w:pPr>
      <w:r>
        <w:rPr>
          <w:rFonts w:eastAsia="Open Sans" w:cs="Open Sans"/>
          <w:color w:val="000000"/>
          <w:sz w:val="24"/>
          <w:szCs w:val="24"/>
          <w:highlight w:val="white"/>
        </w:rPr>
        <w:t xml:space="preserve">Nel PTCO risultano particolarmente funzionali gli strumenti di verifica e le modalità di valutazione che permettano l’accertamento di processo e di risultato, in piena coerenza con quanto previsto dall’articolo 1 del Decreto Legislativo 13 aprile 2017, n.62 (“oggetto della valutazione”). </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L’attenzione al processo, attraverso l’osservazione strutturata, consente di attribuire valore, nella valutazione finale, anche agli atteggiamenti e ai comportamenti dello studente. L'esperienza nei diversi contesti operativi, indipendentemente dai contenuti dell'apprendimento, contribuisce, infatti, a promuovere le competenze trasversali che sono legate anche agli aspetti caratteriali e motivazionali della persona.</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La valutazione finale degli apprendimenti, a conclusione dell’anno scolastico, viene attuata dai docenti del Consiglio di classe, tenuto conto delle attività di osservazione in itinere svolte dal tutor interno (nonché da quello esterno, se previsto), sulla base degli strumenti predisposti in fase di progettazione.</w:t>
      </w:r>
    </w:p>
    <w:p>
      <w:pPr>
        <w:pStyle w:val="Normal"/>
        <w:spacing w:lineRule="auto" w:line="240" w:before="0" w:after="57"/>
        <w:rPr>
          <w:rFonts w:ascii="Liberation Serif" w:hAnsi="Liberation Serif" w:eastAsia="Open Sans" w:cs="Open Sans"/>
          <w:color w:val="000000"/>
          <w:sz w:val="24"/>
          <w:szCs w:val="24"/>
          <w:highlight w:val="white"/>
        </w:rPr>
      </w:pPr>
      <w:r>
        <w:rPr>
          <w:rFonts w:eastAsia="Open Sans" w:cs="Open Sans"/>
          <w:color w:val="000000"/>
          <w:sz w:val="24"/>
          <w:szCs w:val="24"/>
          <w:highlight w:val="white"/>
        </w:rPr>
        <w:t>Sulla base delle suddette attività di osservazione e dell’accertamento delle competenze raggiunte dagli studenti, quindi, il Consiglio di classe procede alla valutazione degli esiti delle attività dei PCTO e della loro ricaduta sugli apprendimenti disciplinari e sulla valutazione del comportamento. Le proposte di voto dei docenti del Consiglio di classe tengono esplicitamente conto dei suddetti esiti, secondo i criteri deliberati dal Collegio dei docenti ed esplicitati nel PTOF dell’istituzione scolastica.</w:t>
      </w:r>
      <w:r>
        <w:br w:type="page"/>
      </w:r>
    </w:p>
    <w:p>
      <w:pPr>
        <w:pStyle w:val="Normal"/>
        <w:spacing w:lineRule="auto" w:line="360"/>
        <w:rPr>
          <w:rFonts w:ascii="Liberation Serif" w:hAnsi="Liberation Serif" w:eastAsia="Times New Roman" w:cs="Times New Roman"/>
          <w:b/>
          <w:b/>
          <w:bCs/>
          <w:color w:val="000000"/>
          <w:sz w:val="28"/>
          <w:szCs w:val="28"/>
          <w:highlight w:val="white"/>
        </w:rPr>
      </w:pPr>
      <w:r>
        <w:rPr>
          <w:rFonts w:eastAsia="Times New Roman" w:cs="Times New Roman"/>
          <w:b/>
          <w:bCs/>
          <w:color w:val="000000"/>
          <w:sz w:val="28"/>
          <w:szCs w:val="28"/>
          <w:highlight w:val="white"/>
        </w:rPr>
        <w:t>Le competenze trasversali secondo le linee guida del MIUR</w:t>
      </w:r>
    </w:p>
    <w:p>
      <w:pPr>
        <w:pStyle w:val="Normal"/>
        <w:spacing w:lineRule="auto" w:line="240"/>
        <w:rPr>
          <w:rFonts w:ascii="Liberation Serif" w:hAnsi="Liberation Serif" w:eastAsia="Times New Roman" w:cs="Times New Roman"/>
          <w:color w:val="000000"/>
          <w:sz w:val="24"/>
          <w:szCs w:val="24"/>
          <w:highlight w:val="white"/>
        </w:rPr>
      </w:pPr>
      <w:r>
        <w:rPr>
          <w:rFonts w:eastAsia="Times New Roman" w:cs="Times New Roman"/>
          <w:color w:val="000000"/>
          <w:sz w:val="24"/>
          <w:szCs w:val="24"/>
          <w:highlight w:val="white"/>
        </w:rPr>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 Tali competenze si riferiscono ai processi di pensiero, di cognizione e di comportamento. Esse rive-stono un ruolo essenziale nel processo di costruzione del sé, in cui lo studente è attore della propria crescita umana, culturale, sociale e professionale, e sono rilevanti anche ai fini della pianificazione e della progettazione dell’azione formativa. Consentono, inoltre, allo studente di attivare modalità e capacità di riflessione e di utilizzare strategie di apprendimento e di auto-correzione dell’atteggiamento, in contesti sociali e di lavoro.</w:t>
      </w:r>
    </w:p>
    <w:p>
      <w:pPr>
        <w:pStyle w:val="Normal"/>
        <w:spacing w:lineRule="auto" w:line="240"/>
        <w:rPr>
          <w:rFonts w:ascii="Liberation Serif" w:hAnsi="Liberation Serif" w:eastAsia="Times New Roman"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I PCTO possono mettere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 principalmente a questo scopo</w:t>
      </w:r>
    </w:p>
    <w:p>
      <w:pPr>
        <w:pStyle w:val="Normal"/>
        <w:jc w:val="center"/>
        <w:rPr/>
      </w:pPr>
      <w:r>
        <w:rPr/>
        <w:drawing>
          <wp:inline distT="0" distB="0" distL="0" distR="0">
            <wp:extent cx="5952490" cy="14554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52490" cy="1455420"/>
                    </a:xfrm>
                    <a:prstGeom prst="rect">
                      <a:avLst/>
                    </a:prstGeom>
                  </pic:spPr>
                </pic:pic>
              </a:graphicData>
            </a:graphic>
          </wp:inline>
        </w:drawing>
      </w:r>
      <w:r>
        <w:br w:type="page"/>
      </w:r>
    </w:p>
    <w:p>
      <w:pPr>
        <w:pStyle w:val="Normal"/>
        <w:spacing w:lineRule="auto" w:line="240" w:before="0" w:after="0"/>
        <w:rPr>
          <w:rFonts w:ascii="Liberation Serif" w:hAnsi="Liberation Serif"/>
          <w:sz w:val="24"/>
          <w:szCs w:val="24"/>
        </w:rPr>
      </w:pPr>
      <w:r>
        <w:rPr>
          <w:rFonts w:eastAsia="Times New Roman" w:cs="Times New Roman" w:ascii="Liberation Serif" w:hAnsi="Liberation Serif"/>
          <w:b/>
          <w:bCs/>
          <w:color w:val="000000"/>
          <w:sz w:val="24"/>
          <w:szCs w:val="24"/>
          <w:highlight w:val="white"/>
        </w:rPr>
        <w:t>Tabella riassuntiva delle competenze trasversali e delle relative capacità.</w:t>
      </w:r>
    </w:p>
    <w:tbl>
      <w:tblPr>
        <w:tblW w:w="10772" w:type="dxa"/>
        <w:jc w:val="left"/>
        <w:tblInd w:w="50" w:type="dxa"/>
        <w:tblLayout w:type="fixed"/>
        <w:tblCellMar>
          <w:top w:w="55" w:type="dxa"/>
          <w:left w:w="48" w:type="dxa"/>
          <w:bottom w:w="55" w:type="dxa"/>
          <w:right w:w="55" w:type="dxa"/>
        </w:tblCellMar>
        <w:tblLook w:firstRow="0" w:noVBand="0" w:lastRow="0" w:firstColumn="0" w:lastColumn="0" w:noHBand="0" w:val="0000"/>
      </w:tblPr>
      <w:tblGrid>
        <w:gridCol w:w="2588"/>
        <w:gridCol w:w="8183"/>
      </w:tblGrid>
      <w:tr>
        <w:trPr/>
        <w:tc>
          <w:tcPr>
            <w:tcW w:w="2588" w:type="dxa"/>
            <w:tcBorders>
              <w:top w:val="single" w:sz="2" w:space="0" w:color="000001"/>
              <w:left w:val="single" w:sz="2" w:space="0" w:color="000001"/>
              <w:bottom w:val="single" w:sz="2" w:space="0" w:color="000001"/>
            </w:tcBorders>
            <w:shd w:color="auto" w:fill="FFFFFF" w:val="clear"/>
          </w:tcPr>
          <w:p>
            <w:pPr>
              <w:pStyle w:val="Contenutotabella"/>
              <w:widowControl w:val="false"/>
              <w:spacing w:before="0" w:after="0"/>
              <w:jc w:val="center"/>
              <w:rPr>
                <w:rFonts w:ascii="Liberation Serif" w:hAnsi="Liberation Serif" w:eastAsia="Times New Roman" w:cs="Times New Roman"/>
                <w:b/>
                <w:b/>
                <w:bCs/>
              </w:rPr>
            </w:pPr>
            <w:r>
              <w:rPr>
                <w:rFonts w:eastAsia="Times New Roman" w:cs="Times New Roman" w:ascii="Liberation Serif" w:hAnsi="Liberation Serif"/>
                <w:b/>
                <w:bCs/>
              </w:rPr>
              <w:t>Competenza</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spacing w:before="0" w:after="0"/>
              <w:jc w:val="center"/>
              <w:rPr>
                <w:rFonts w:ascii="Liberation Serif" w:hAnsi="Liberation Serif" w:eastAsia="Times New Roman" w:cs="Times New Roman"/>
                <w:b/>
                <w:b/>
                <w:bCs/>
              </w:rPr>
            </w:pPr>
            <w:r>
              <w:rPr>
                <w:rFonts w:eastAsia="Times New Roman" w:cs="Times New Roman" w:ascii="Liberation Serif" w:hAnsi="Liberation Serif"/>
                <w:b/>
                <w:bCs/>
              </w:rPr>
              <w:t>Capacità</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Competenza personale, sociale e capacità di imparare a imparare</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riflettere su se stessi e individuare le proprie attitudini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efficacemente il tempo e le informazioni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imparare e di lavorare sia in modalità collaborativa sia in maniera autonoma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lavorare con gli altri in maniera costruttiva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comunicare costruttivamente in ambienti diversi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creare fiducia e provare empatia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esprimere e comprendere punti di vista diversi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negoziare</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concentrarsi, di riflettere criticamente e di prendere decisioni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il proprio apprendimento e la propria carriera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l’incertezza, la complessità e lo stress</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mantenersi resilienti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favorire il proprio benessere fisico ed emotivo</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Competenze in materia di cittadinanza</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impegnarsi efficacemente con gli altri per un interesse comune o Pubblico</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pensiero critico e abilità integrate nella soluzione dei problemi</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Competenza imprenditoriale</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Creatività e immaginazione</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pensiero strategico e risoluzione dei problemi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trasformare le idee in azioni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riflessione critica e costruttiva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assumere l’iniziativa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lavorare sia in modalità collaborativa in gruppo sia in maniera autonoma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mantenere il ritmo dell’attività</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comunicare e negoziare efficacemente con gli altri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gestire l’incertezza, l’ambiguità e il rischio</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possedere spirito di iniziativa e autoconsapevolezza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essere proattivi e lungimiranti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coraggio e perseveranza nel raggiungimento degli obiettivi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motivare gli altri e valorizzare le loro idee, di provare empatia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accettare la responsabilità</w:t>
            </w:r>
          </w:p>
        </w:tc>
      </w:tr>
      <w:tr>
        <w:trPr/>
        <w:tc>
          <w:tcPr>
            <w:tcW w:w="2588" w:type="dxa"/>
            <w:tcBorders>
              <w:top w:val="single" w:sz="2" w:space="0" w:color="000001"/>
              <w:left w:val="single" w:sz="2" w:space="0" w:color="000001"/>
              <w:bottom w:val="single" w:sz="2" w:space="0" w:color="000001"/>
            </w:tcBorders>
            <w:shd w:color="auto" w:fill="FFFFFF" w:val="clear"/>
            <w:vAlign w:val="center"/>
          </w:tcPr>
          <w:p>
            <w:pPr>
              <w:pStyle w:val="Contenutotabella"/>
              <w:widowControl w:val="false"/>
              <w:spacing w:before="0" w:after="0"/>
              <w:rPr>
                <w:rFonts w:ascii="Liberation Serif" w:hAnsi="Liberation Serif" w:eastAsia="Times New Roman" w:cs="Times New Roman"/>
                <w:sz w:val="20"/>
                <w:szCs w:val="20"/>
              </w:rPr>
            </w:pPr>
            <w:r>
              <w:rPr>
                <w:rFonts w:eastAsia="Times New Roman" w:cs="Times New Roman" w:ascii="Liberation Serif" w:hAnsi="Liberation Serif"/>
                <w:sz w:val="20"/>
                <w:szCs w:val="20"/>
              </w:rPr>
              <w:t>Competenza in materia di consapevolezza ed espressione culturali</w:t>
            </w:r>
          </w:p>
        </w:tc>
        <w:tc>
          <w:tcPr>
            <w:tcW w:w="8183"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esprimere esperienze ed emozioni con empatia</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riconoscere e realizzare le opportunità di valorizzazione personale, sociale o commerciale mediante le arti e le atre forme culturali</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Capacità di impegnarsi in processi creativi sia individualmente che collettiva-mente</w:t>
            </w:r>
          </w:p>
          <w:p>
            <w:pPr>
              <w:pStyle w:val="Contenutotabella"/>
              <w:widowControl w:val="false"/>
              <w:numPr>
                <w:ilvl w:val="0"/>
                <w:numId w:val="7"/>
              </w:numPr>
              <w:spacing w:before="0" w:after="0"/>
              <w:ind w:left="338" w:hanging="283"/>
              <w:rPr>
                <w:rFonts w:ascii="Liberation Serif" w:hAnsi="Liberation Serif" w:eastAsia="Times New Roman" w:cs="Times New Roman"/>
                <w:sz w:val="20"/>
                <w:szCs w:val="20"/>
              </w:rPr>
            </w:pPr>
            <w:r>
              <w:rPr>
                <w:rFonts w:eastAsia="Times New Roman" w:cs="Times New Roman" w:ascii="Liberation Serif" w:hAnsi="Liberation Serif"/>
                <w:sz w:val="20"/>
                <w:szCs w:val="20"/>
              </w:rPr>
              <w:t>Curiosità nei confronti del mondo, apertura per immaginare nuove possibilità</w:t>
            </w:r>
          </w:p>
        </w:tc>
      </w:tr>
    </w:tbl>
    <w:p>
      <w:pPr>
        <w:pStyle w:val="Normal"/>
        <w:spacing w:lineRule="auto" w:line="240" w:before="0" w:after="0"/>
        <w:rPr>
          <w:bCs/>
        </w:rPr>
      </w:pPr>
      <w:r>
        <w:rPr>
          <w:bCs/>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rFonts w:ascii="Arial" w:hAnsi="Arial" w:eastAsia="Times New Roman" w:cs="Times New Roman"/>
          <w:color w:val="000000"/>
          <w:sz w:val="24"/>
          <w:szCs w:val="24"/>
          <w:highlight w:val="white"/>
        </w:rPr>
      </w:pPr>
      <w:r>
        <w:rPr>
          <w:rFonts w:eastAsia="Times New Roman" w:cs="Times New Roman" w:ascii="Arial" w:hAnsi="Arial"/>
          <w:color w:val="000000"/>
          <w:sz w:val="24"/>
          <w:szCs w:val="24"/>
          <w:highlight w:val="white"/>
        </w:rPr>
      </w:r>
    </w:p>
    <w:p>
      <w:pPr>
        <w:pStyle w:val="Normal"/>
        <w:rPr/>
      </w:pPr>
      <w:r>
        <w:rPr>
          <w:rFonts w:eastAsia="Times New Roman" w:cs="Times New Roman" w:ascii="Arial" w:hAnsi="Arial"/>
          <w:b/>
          <w:bCs/>
          <w:color w:val="000000"/>
          <w:sz w:val="28"/>
          <w:szCs w:val="28"/>
          <w:highlight w:val="white"/>
        </w:rPr>
        <w:t>Competenze di indirizzo - Manutenzione e Assistenza Tecnica</w:t>
      </w:r>
    </w:p>
    <w:p>
      <w:pPr>
        <w:sectPr>
          <w:headerReference w:type="default" r:id="rId3"/>
          <w:footerReference w:type="default" r:id="rId4"/>
          <w:type w:val="nextPage"/>
          <w:pgSz w:w="11906" w:h="16838"/>
          <w:pgMar w:left="567" w:right="567" w:gutter="0" w:header="567" w:top="1276" w:footer="567" w:bottom="993"/>
          <w:pgNumType w:start="1" w:fmt="decimal"/>
          <w:formProt w:val="false"/>
          <w:textDirection w:val="lrTb"/>
          <w:docGrid w:type="default" w:linePitch="249" w:charSpace="1842"/>
        </w:sectPr>
        <w:pStyle w:val="Normal"/>
        <w:rPr/>
      </w:pPr>
      <w:r>
        <w:rPr>
          <w:rFonts w:eastAsia="Times New Roman" w:cs="Times New Roman" w:ascii="Arial" w:hAnsi="Arial"/>
          <w:b/>
          <w:bCs/>
          <w:color w:val="000000"/>
          <w:sz w:val="24"/>
          <w:szCs w:val="24"/>
          <w:highlight w:val="white"/>
        </w:rPr>
        <w:t xml:space="preserve">NB: </w:t>
      </w:r>
      <w:r>
        <w:rPr>
          <w:rFonts w:eastAsia="Times New Roman" w:cs="Times New Roman" w:ascii="Arial" w:hAnsi="Arial"/>
          <w:color w:val="000000"/>
          <w:sz w:val="20"/>
          <w:szCs w:val="20"/>
          <w:highlight w:val="white"/>
        </w:rPr>
        <w:t xml:space="preserve">Il numero della competenza riprende la numerazione dell’All. 2 del Regolamento emanato con decreto del MIUR 24 maggio 2018, n. 92 (pubblicato sul Supplemento ordinario N. 35/L alla Gazzetta Ufficiale n. 173 del 27 luglio 2018 - Serie generale) relativa all’indirizzo di riferimento. </w:t>
      </w:r>
    </w:p>
    <w:tbl>
      <w:tblPr>
        <w:tblW w:w="5000" w:type="pct"/>
        <w:jc w:val="center"/>
        <w:tblInd w:w="0" w:type="dxa"/>
        <w:tblLayout w:type="fixed"/>
        <w:tblCellMar>
          <w:top w:w="0" w:type="dxa"/>
          <w:left w:w="40" w:type="dxa"/>
          <w:bottom w:w="0" w:type="dxa"/>
          <w:right w:w="108" w:type="dxa"/>
        </w:tblCellMar>
        <w:tblLook w:firstRow="0" w:noVBand="0" w:lastRow="0" w:firstColumn="0" w:lastColumn="0" w:noHBand="0" w:val="0000"/>
      </w:tblPr>
      <w:tblGrid>
        <w:gridCol w:w="5682"/>
        <w:gridCol w:w="4308"/>
        <w:gridCol w:w="4580"/>
      </w:tblGrid>
      <w:tr>
        <w:trPr>
          <w:tblHeader w:val="true"/>
          <w:cantSplit w:val="true"/>
        </w:trPr>
        <w:tc>
          <w:tcPr>
            <w:tcW w:w="145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CLASSE TERZA</w:t>
            </w:r>
          </w:p>
        </w:tc>
      </w:tr>
      <w:tr>
        <w:trPr>
          <w:cantSplit w:val="true"/>
        </w:trPr>
        <w:tc>
          <w:tcPr>
            <w:tcW w:w="145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08"/>
                <w:tab w:val="left" w:pos="280" w:leader="none"/>
                <w:tab w:val="left" w:pos="395" w:leader="none"/>
              </w:tabs>
              <w:spacing w:lineRule="auto" w:line="240" w:before="0" w:after="120"/>
              <w:ind w:left="57" w:hanging="0"/>
              <w:jc w:val="center"/>
              <w:rPr>
                <w:rFonts w:ascii="Arial" w:hAnsi="Arial" w:eastAsia="Times New Roman" w:cs="Times New Roman"/>
                <w:color w:val="000000"/>
                <w:highlight w:val="white"/>
                <w:lang w:eastAsia="zh-CN" w:bidi="hi-IN"/>
              </w:rPr>
            </w:pPr>
            <w:r>
              <w:rPr>
                <w:rFonts w:eastAsia="Times New Roman" w:cs="Times New Roman" w:ascii="Arial" w:hAnsi="Arial"/>
                <w:b/>
                <w:color w:val="000000"/>
                <w:sz w:val="24"/>
                <w:szCs w:val="24"/>
                <w:highlight w:val="white"/>
              </w:rPr>
              <w:t>COMPETENZE</w:t>
              <w:tab/>
              <w:tab/>
              <w:tab/>
              <w:tab/>
              <w:tab/>
              <w:t>ABILITÀ</w:t>
              <w:tab/>
              <w:tab/>
              <w:tab/>
              <w:tab/>
              <w:tab/>
              <w:t>CONOSCENZE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1: Analizzare e interpretare schemi di apparati, impianti e dispositivi predisponendo le attività.</w:t>
            </w:r>
          </w:p>
          <w:p>
            <w:pPr>
              <w:pStyle w:val="Normal"/>
              <w:widowControl w:val="false"/>
              <w:spacing w:lineRule="auto" w:line="240" w:before="0" w:after="240"/>
              <w:jc w:val="center"/>
              <w:rPr>
                <w:rFonts w:ascii="Arial" w:hAnsi="Arial" w:eastAsia="Arial" w:cs="Arial"/>
                <w:b/>
                <w:b/>
                <w:bCs/>
                <w:color w:val="000000"/>
                <w:sz w:val="32"/>
                <w:szCs w:val="32"/>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e interpretare disegni e schemi di particolari meccanici, attrezzature, dispositivi e impianti di moderata complessità.</w:t>
            </w:r>
          </w:p>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Interpretare le condizioni di funzionamento di impianti di moderata complessità indicate in schemi e disegni.</w:t>
            </w:r>
          </w:p>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componenti, strumenti e attrezzature di apparati, impianti e dispositivi di moderata complessità con le caratteristiche adeguate.</w:t>
            </w:r>
          </w:p>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Reperire e archiviare la documentazione tecnica di interesse relativa a schemi di apparati e impianti di moderata complessità.</w:t>
            </w:r>
          </w:p>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Consultare i manuali tecnici di riferimento.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80"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Norme e tecniche di rappresentazione grafica di apparati, impianti e dispositivi di moderata complessità.</w:t>
            </w:r>
          </w:p>
          <w:p>
            <w:pPr>
              <w:pStyle w:val="Normal"/>
              <w:widowControl w:val="false"/>
              <w:numPr>
                <w:ilvl w:val="0"/>
                <w:numId w:val="2"/>
              </w:numPr>
              <w:tabs>
                <w:tab w:val="clear" w:pos="708"/>
                <w:tab w:val="left" w:pos="280"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Rappresentazione esecutiva di apparati, impianti e dispositivi di moderata complessità.</w:t>
            </w:r>
          </w:p>
          <w:p>
            <w:pPr>
              <w:pStyle w:val="Normal"/>
              <w:widowControl w:val="false"/>
              <w:numPr>
                <w:ilvl w:val="0"/>
                <w:numId w:val="2"/>
              </w:numPr>
              <w:tabs>
                <w:tab w:val="clear" w:pos="708"/>
                <w:tab w:val="left" w:pos="280"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Schemi logici e funzionali di apparati e impianti, di circuiti elettrici, elettronici e fluidici di moderata complessità.</w:t>
            </w:r>
          </w:p>
          <w:p>
            <w:pPr>
              <w:pStyle w:val="Normal"/>
              <w:widowControl w:val="false"/>
              <w:numPr>
                <w:ilvl w:val="0"/>
                <w:numId w:val="2"/>
              </w:numPr>
              <w:tabs>
                <w:tab w:val="clear" w:pos="708"/>
                <w:tab w:val="left" w:pos="280"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Funzionalità delle apparecchiature, dei dispositivi e dei componenti di interesse.</w:t>
            </w:r>
          </w:p>
          <w:p>
            <w:pPr>
              <w:pStyle w:val="Normal"/>
              <w:widowControl w:val="false"/>
              <w:numPr>
                <w:ilvl w:val="0"/>
                <w:numId w:val="2"/>
              </w:numPr>
              <w:tabs>
                <w:tab w:val="clear" w:pos="708"/>
                <w:tab w:val="left" w:pos="280" w:leader="none"/>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ricerca e archiviazione di documentazione tecnica.</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 xml:space="preserve">2. Installare apparati e impianti, anche programmabili, secondo le specifiche tecniche e nel rispetto </w:t>
            </w:r>
            <w:bookmarkStart w:id="0" w:name="_GoBack"/>
            <w:bookmarkEnd w:id="0"/>
            <w:r>
              <w:rPr>
                <w:rFonts w:eastAsia="Times New Roman" w:cs="Times New Roman" w:ascii="Arial" w:hAnsi="Arial"/>
                <w:color w:val="000000"/>
                <w:sz w:val="24"/>
                <w:szCs w:val="24"/>
                <w:highlight w:val="white"/>
              </w:rPr>
              <w:t>della normativa di settore.</w:t>
            </w:r>
          </w:p>
          <w:p>
            <w:pPr>
              <w:pStyle w:val="Normal"/>
              <w:widowControl w:val="false"/>
              <w:spacing w:lineRule="auto" w:line="240" w:before="0" w:after="240"/>
              <w:jc w:val="center"/>
              <w:rPr>
                <w:rFonts w:ascii="Arial" w:hAnsi="Arial" w:eastAsia="Arial" w:cs="Arial"/>
                <w:b/>
                <w:b/>
                <w:bCs/>
                <w:color w:val="000000"/>
                <w:sz w:val="32"/>
                <w:szCs w:val="32"/>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Scegliere materiali, attrezzi e strumenti di lavoro necessari alle diverse fasi di attività.</w:t>
            </w:r>
          </w:p>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Assemblare componenti meccanici, pneumatici, oleodinamici, elettrici ed elettronici, attraverso la lettura guidata di schemi e disegni e nel rispetto della normativa di settore.</w:t>
            </w:r>
          </w:p>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apparati e impianti secondo le indicazioni ricevute, nel rispetto della normativa di settore.</w:t>
            </w:r>
          </w:p>
          <w:p>
            <w:pPr>
              <w:pStyle w:val="Normal"/>
              <w:widowControl w:val="false"/>
              <w:numPr>
                <w:ilvl w:val="0"/>
                <w:numId w:val="2"/>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semplici tecniche di saldature di diverso tipo.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Materiali, attrezzi e strumenti di lavoro specifici dei settori meccanico, elettrico, elettronico, termico.</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di assemblaggio di varie tipologie di componenti e apparecchiature.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per la realizzazione di apparati e impianti.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Caratteristiche d’impiego dei componenti elettrici, elettronici, meccanici e fluidici.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Dispositivi ausiliari e di bordo per la misura delle grandezze principali.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e tipologie di saldatura.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Riferimenti normativi di settore.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3.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p>
            <w:pPr>
              <w:pStyle w:val="Normal"/>
              <w:widowControl w:val="false"/>
              <w:spacing w:lineRule="auto" w:line="240" w:before="0" w:after="240"/>
              <w:jc w:val="center"/>
              <w:rPr>
                <w:rFonts w:ascii="Arial" w:hAnsi="Arial" w:eastAsia="Arial" w:cs="Arial"/>
                <w:b/>
                <w:b/>
                <w:bCs/>
                <w:color w:val="000000"/>
                <w:sz w:val="32"/>
                <w:szCs w:val="32"/>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Reperire la documentazione tecnica per ricavare le informazioni relative agli interventi di manutenzione dalla documentazione a corredo della macchina/impianto.</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Controllare e ripristinare, durante il ciclo di vita di semplici apparati e degli impianti, la conformità del loro funzionamento alle specifiche tecniche.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procedure e tecniche standard di manutenzione ordinaria e straordinaria di semplici apparati e impianti nel rispetto della normativa sulla sicurezza degli utenti.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e tecniche standard di manutenzione ordinaria e straordinaria e compilazione dei documenti che accompagnano la stessa.</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Struttura e funzionamento di semplici macchine, impianti e apparati.</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di smontaggio, sostituzione e ripristino di semplici apparecchiature e impianti.</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Misure di protezione e prevenzione per la tutela della salute e sicurezza nei luoghi di lavoro.</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Lessico di settore (anche in lingua inglese).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4. Collaborare alle attività di verifica. Regolazione e collaudo, provvedendo al rilascio della certificazione secondo la normativa in vigore.</w:t>
            </w:r>
          </w:p>
          <w:p>
            <w:pPr>
              <w:pStyle w:val="Normal"/>
              <w:widowControl w:val="false"/>
              <w:spacing w:lineRule="auto" w:line="240" w:before="0" w:after="240"/>
              <w:jc w:val="center"/>
              <w:rPr>
                <w:rFonts w:ascii="Arial" w:hAnsi="Arial" w:eastAsia="Arial" w:cs="Arial"/>
                <w:b/>
                <w:b/>
                <w:bCs/>
                <w:color w:val="000000"/>
                <w:sz w:val="32"/>
                <w:szCs w:val="32"/>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procedure di verifica del funzionamento dei dispositivi, apparati impianti.</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Compilare registri di manutenzione e degli interventi effettuati.</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Cogliere i principi di funzionamento e le condizioni di impiego dei principali strumenti di misura.</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Configurare e tarare gli strumenti di misura e controllo.</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Presentare i risultati delle misure su grafici e tabelle anche con supporti informatici.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Principi di funzionamento, tipologie e caratteristiche degli strumenti di misura e loro utilizzo.</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Misure di grandezze tecnologiche.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Registri di manutenzione.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Software per la realizzazione di grafici e tabelle.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5. Gestire le scorte di magazzino, curando il processo di approvvigionamento.</w:t>
            </w:r>
          </w:p>
          <w:p>
            <w:pPr>
              <w:pStyle w:val="Normal"/>
              <w:widowControl w:val="false"/>
              <w:spacing w:lineRule="auto" w:line="240" w:before="0" w:after="240"/>
              <w:jc w:val="center"/>
              <w:rPr>
                <w:rFonts w:ascii="Arial" w:hAnsi="Arial" w:eastAsia="Arial" w:cs="Arial"/>
                <w:b/>
                <w:b/>
                <w:bCs/>
                <w:color w:val="000000"/>
                <w:sz w:val="32"/>
                <w:szCs w:val="32"/>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Identificare le parti di un semplice apparato o impianto che necessitano di manutenzione.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Rilevare i livelli di consumo e il fabbisogno delle parti di ricambio.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Ciclo di vita del prodotto.</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Tipologie di guasto.</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Concetti di affidabilità e manutenibilità.</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6. Operare in sicurezza nel rispetto delle norme della salute e sicurezza nei luoghi di lavoro e per la salvaguardia dell'ambiente.</w:t>
            </w:r>
          </w:p>
          <w:p>
            <w:pPr>
              <w:pStyle w:val="Normal"/>
              <w:widowControl w:val="false"/>
              <w:spacing w:lineRule="auto" w:line="240" w:before="0" w:after="240"/>
              <w:jc w:val="center"/>
              <w:textAlignment w:val="center"/>
              <w:rPr>
                <w:rFonts w:ascii="Arial" w:hAnsi="Arial" w:eastAsia="Times New Roman" w:cs="Times New Roman"/>
                <w:color w:val="000000"/>
                <w:sz w:val="24"/>
                <w:szCs w:val="24"/>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Identificare situazioni di rischio potenziale per la sicurezza, la salute e l'ambiente nel luogo di lavoro, promuovendo l’assunzione di comportamenti corretti e consapevoli di prevenzione.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soluzioni organizzative della postazione di lavoro coerenti ai principi dell’ergonomia.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strumenti e tecnologie specifiche, nel rispetto di norme e procedure di sicurezza, finalizzati alle operazioni di manutenzione.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Rischi Specifici.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Elementi di ergonomia.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Criteri di prevenzione e protezione relativi alla gestione delle operazioni di manutenzione su apparati e sistemi.</w:t>
            </w:r>
          </w:p>
        </w:tc>
      </w:tr>
    </w:tbl>
    <w:p>
      <w:pPr>
        <w:pStyle w:val="Normal"/>
        <w:spacing w:lineRule="auto" w:line="240" w:before="280" w:after="280"/>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p>
    <w:p>
      <w:pPr>
        <w:pStyle w:val="Normal"/>
        <w:rPr>
          <w:rFonts w:ascii="Arial" w:hAnsi="Arial" w:eastAsia="Times New Roman" w:cs="Times New Roman"/>
          <w:b/>
          <w:b/>
          <w:bCs/>
          <w:color w:val="000000"/>
          <w:sz w:val="28"/>
          <w:szCs w:val="28"/>
          <w:highlight w:val="white"/>
        </w:rPr>
      </w:pPr>
      <w:r>
        <w:rPr/>
      </w:r>
      <w:r>
        <w:br w:type="page"/>
      </w:r>
    </w:p>
    <w:tbl>
      <w:tblPr>
        <w:tblW w:w="5000" w:type="pct"/>
        <w:jc w:val="center"/>
        <w:tblInd w:w="0" w:type="dxa"/>
        <w:tblLayout w:type="fixed"/>
        <w:tblCellMar>
          <w:top w:w="0" w:type="dxa"/>
          <w:left w:w="40" w:type="dxa"/>
          <w:bottom w:w="0" w:type="dxa"/>
          <w:right w:w="108" w:type="dxa"/>
        </w:tblCellMar>
        <w:tblLook w:firstRow="0" w:noVBand="0" w:lastRow="0" w:firstColumn="0" w:lastColumn="0" w:noHBand="0" w:val="0000"/>
      </w:tblPr>
      <w:tblGrid>
        <w:gridCol w:w="5682"/>
        <w:gridCol w:w="4308"/>
        <w:gridCol w:w="4580"/>
      </w:tblGrid>
      <w:tr>
        <w:trPr>
          <w:tblHeader w:val="true"/>
          <w:cantSplit w:val="true"/>
        </w:trPr>
        <w:tc>
          <w:tcPr>
            <w:tcW w:w="145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pageBreakBefore/>
              <w:widowControl w:val="false"/>
              <w:spacing w:lineRule="auto" w:line="240" w:before="0" w:after="0"/>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CLASSE QUARTA</w:t>
            </w:r>
          </w:p>
          <w:p>
            <w:pPr>
              <w:pStyle w:val="Normal"/>
              <w:keepNext w:val="true"/>
              <w:widowControl w:val="false"/>
              <w:spacing w:lineRule="auto" w:line="240" w:before="0" w:after="113"/>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COMPETENZE</w:t>
              <w:tab/>
              <w:tab/>
              <w:tab/>
              <w:tab/>
              <w:tab/>
              <w:t>ABILITÀ</w:t>
              <w:tab/>
              <w:tab/>
              <w:tab/>
              <w:tab/>
              <w:tab/>
              <w:t>CONOSCENZE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1: Analizzare e interpretare schemi di apparati, impianti e dispositivi predisponendo le attività.</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e interpretare disegni e schemi di particolari meccanici, attrezzature, dispositivi e impianti anche complessi.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Riconoscere le condizioni di esercizio degli impianti anche complessi.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Pianificare ed organizzare le principali attività di apparati, impianti e dispositivi anche complessi.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componenti, strumenti e attrezzature di apparati, impianti e dispositivi anche complessi con le caratteristiche adeguate.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Reperire, aggiornare e archiviare la documentazione tecnica di interesse relativa a schemi di apparati e impianti anche complessi.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Mettere in relazione i dati della documentazione con il dispositivo descritto.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Norme e tecniche di rappresentazione grafica di apparati, impianti e dispositivi anche complessi.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Rappresentazione esecutiva di organi meccanici di apparati, impianti e dispositivi anche complessi.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Schemi logici e funzionali di apparati e impianti anche complessi, di circuiti elettrici, elettronici e fluidici.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ricerca, consultazione e archiviazione della documentazione tecnica.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Funzionalità delle apparecchiature, dei dispositivi e dei componenti di apparati, impianti e dispositivi anche complessi.</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2. Installare apparati e impianti, anche programmabili, secondo le specifiche tecniche e nel rispetto della normativa di settore.</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Approntare materiali, attrezzi e strumenti di lavoro necessari alle diverse fasi di attività.</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Assemblare componenti meccanici, pneumatici, oleodinamici elettrici ed elettronici, attraverso la lettura di schemi e disegni e nel rispetto della normativa di settore.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Installare semplici apparati e impianti nel rispetto della normativa di settore, configurando eventuali funzioni in logica programmabile.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tecniche di saldature di diverso tipo.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Materiali, attrezzi e strumenti di lavoro specifici dei settori meccanico, elettrico, elettronico, termico.</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di assemblaggio di varie tipologie di componenti e apparecchiature.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per l’installazione di semplici apparati e impianti.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Caratteristiche d’impiego di semplici sistemi di trasmissione del moto, del calore e di quelli programmabili.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Dispositivi ausiliari e di bordo per la misura delle grandezze principali.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e parametri relativi alle diverse tipologie di saldatura.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Normativa di settore.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3.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Applicare metodi di ricerca guasti.</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Reperire le risorse tecniche e tecnologiche per offrire servizi efficaci ed economicamente correlati alle richieste.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correttamente nei contesti operativi metodi e strumenti di misura, controllo e diagnosi (anche digitali) propri dell’attività di manutenzione considerata.</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Strumenti e tecniche di misura delle grandezze di riferimento relative ad apparati e impianti.</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Metodi e strumenti di ricerca dei guasti e valutazione dell’affidabilità dei sistemi.</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Tecniche di rilevazione e analisi dei dati di funzionamento.</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4. Collaborare alle attività di verifica. Regolazione e collaudo, provvedendo al rilascio della certificazione secondo la normativa in vigore.</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Compilare registri di manutenzione e degli interventi effettuati e la documentazione tecnica.</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Stimare gli errori di misura.</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Commisurare l’incertezza delle misure a valori di tolleranza assegnati.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Teoria degli errori di misura e calcolo delle incertezze su misure dirette e indirette estima delle tolleranze.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Documentazione tecnica di manutenzione.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5. Gestire le scorte di magazzino, curando il processo di approvvigionamento.</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Gestire e determinare la quantità da acquistare e la tempistica di approvvigionamento per garantire continuità al processo operativo (stock control, flow control).</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Processo di acquisto e gestione delle scorte dei materiali diretti al reparto di manutenzione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6. Operare in sicurezza nel rispetto delle norme della salute e sicurezza nei luoghi di lavoro e per la salvaguardia dell'ambiente.</w:t>
            </w:r>
          </w:p>
          <w:p>
            <w:pPr>
              <w:pStyle w:val="Normal"/>
              <w:widowControl w:val="false"/>
              <w:spacing w:lineRule="auto" w:line="240" w:before="0" w:after="240"/>
              <w:jc w:val="center"/>
              <w:textAlignment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Smontare, sostituire e rimontare componenti e semplici apparecchiature, applicando le procedure di Sicurezza.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Eseguire la messa in sicurezza delle macchine secondo le procedure.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e tecniche dimessa in sicurezza di una macchina prima delle operazioni di manutenzione.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e tecniche di interventi in sicurezza.</w:t>
            </w:r>
          </w:p>
        </w:tc>
      </w:tr>
    </w:tbl>
    <w:p>
      <w:pPr>
        <w:pStyle w:val="Normal"/>
        <w:spacing w:lineRule="auto" w:line="240" w:before="280" w:after="280"/>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p>
    <w:p>
      <w:pPr>
        <w:pStyle w:val="Normal"/>
        <w:overflowPunct w:val="false"/>
        <w:spacing w:lineRule="auto" w:line="240" w:before="0" w:after="0"/>
        <w:textAlignment w:val="auto"/>
        <w:outlineLvl w:val="9"/>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r>
        <w:br w:type="page"/>
      </w:r>
    </w:p>
    <w:p>
      <w:pPr>
        <w:pStyle w:val="Normal"/>
        <w:spacing w:lineRule="auto" w:line="240" w:before="280" w:after="280"/>
        <w:rPr>
          <w:rFonts w:ascii="Arial" w:hAnsi="Arial" w:eastAsia="Times New Roman" w:cs="Times New Roman"/>
          <w:b/>
          <w:b/>
          <w:color w:val="000000"/>
          <w:sz w:val="24"/>
          <w:szCs w:val="24"/>
          <w:highlight w:val="white"/>
          <w:u w:val="single"/>
        </w:rPr>
      </w:pPr>
      <w:r>
        <w:rPr>
          <w:rFonts w:eastAsia="Times New Roman" w:cs="Times New Roman" w:ascii="Arial" w:hAnsi="Arial"/>
          <w:b/>
          <w:color w:val="000000"/>
          <w:sz w:val="24"/>
          <w:szCs w:val="24"/>
          <w:highlight w:val="white"/>
          <w:u w:val="single"/>
        </w:rPr>
      </w:r>
    </w:p>
    <w:tbl>
      <w:tblPr>
        <w:tblW w:w="5000" w:type="pct"/>
        <w:jc w:val="center"/>
        <w:tblInd w:w="0" w:type="dxa"/>
        <w:tblLayout w:type="fixed"/>
        <w:tblCellMar>
          <w:top w:w="0" w:type="dxa"/>
          <w:left w:w="40" w:type="dxa"/>
          <w:bottom w:w="0" w:type="dxa"/>
          <w:right w:w="108" w:type="dxa"/>
        </w:tblCellMar>
        <w:tblLook w:firstRow="0" w:noVBand="0" w:lastRow="0" w:firstColumn="0" w:lastColumn="0" w:noHBand="0" w:val="0000"/>
      </w:tblPr>
      <w:tblGrid>
        <w:gridCol w:w="5682"/>
        <w:gridCol w:w="4308"/>
        <w:gridCol w:w="4580"/>
      </w:tblGrid>
      <w:tr>
        <w:trPr>
          <w:tblHeader w:val="true"/>
          <w:cantSplit w:val="true"/>
        </w:trPr>
        <w:tc>
          <w:tcPr>
            <w:tcW w:w="145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uto" w:line="240" w:before="0" w:after="0"/>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CLASSE QUINTA</w:t>
            </w:r>
          </w:p>
          <w:p>
            <w:pPr>
              <w:pStyle w:val="Normal"/>
              <w:keepNext w:val="true"/>
              <w:widowControl w:val="false"/>
              <w:spacing w:lineRule="auto" w:line="240" w:before="0" w:after="113"/>
              <w:jc w:val="center"/>
              <w:rPr>
                <w:rFonts w:ascii="Arial" w:hAnsi="Arial" w:eastAsia="Times New Roman" w:cs="Times New Roman"/>
                <w:b/>
                <w:b/>
                <w:color w:val="000000"/>
                <w:sz w:val="24"/>
                <w:szCs w:val="24"/>
                <w:highlight w:val="white"/>
              </w:rPr>
            </w:pPr>
            <w:r>
              <w:rPr>
                <w:rFonts w:eastAsia="Times New Roman" w:cs="Times New Roman" w:ascii="Arial" w:hAnsi="Arial"/>
                <w:b/>
                <w:color w:val="000000"/>
                <w:sz w:val="24"/>
                <w:szCs w:val="24"/>
                <w:highlight w:val="white"/>
              </w:rPr>
              <w:t>COMPETENZE</w:t>
              <w:tab/>
              <w:tab/>
              <w:tab/>
              <w:tab/>
              <w:tab/>
              <w:t>ABILITÀ</w:t>
              <w:tab/>
              <w:tab/>
              <w:tab/>
              <w:tab/>
              <w:tab/>
              <w:t>CONOSCENZE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1: Analizzare e interpretare schemi di apparati, impianti e dispositivi predisponendo le attività.</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e interpretare disegni e schemi di particolari meccanici, attrezzature, dispositivi e impianti di crescente complessità.</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Interpretare le condizioni di esercizio degli impianti di crescente complessità indicate in schemi e disegni.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Pianificare ed organizzare le attività di apparati, impianti e dispositivi di crescente complessità.</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Individuare componenti, strumenti e attrezzature di apparati, impianti e dispositivi di complessità crescente con le caratteristiche adeguate.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Reperire, aggiornare e archiviare la documentazione tecnica di interesse relativa a schemi di apparati e impianti di crescente complessità.</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Consultare i manuali tecnici di riferimento.</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Mettere in relazione i dati della documentazione con il dispositivo descritto.</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Redigere la documentazione tecnica.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Predisporre la distinta base degli elementi e delle apparecchiature componenti l’impianto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Norme e tecniche di rappresentazione grafica di apparati, impianti e dispositivi di crescente complessità.</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Rappresentazione esecutiva di organi meccanici di apparati, impianti e dispositivi di crescente complessità.</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Schemi logici e funzionali di apparati e impianti di crescente complessità, di circuiti elettrici, elettronici e fluidici.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Funzionalità delle apparecchiature, dei dispositivi e dei componenti di apparati, impianti e dispositivi di crescente complessità.</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Elementi della documentazione tecnica</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Distinta base dell’impianto/macchina.</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2. Installare apparati e impianti, anche programmabili, secondo le specifiche tecniche e nel rispetto della normativa di settore.</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Assemblare componenti meccanici, pneumatici, oleodinamici, elettrici ed elettronici attraverso la lettura di schemi e disegni e nel rispetto della normativa di settore.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Installare apparati e impianti nel rispetto della normativa di settore, configurando eventuali funzioni in logica programmabile.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Realizzare saldature di diverso tipo secondo specifiche di progetto.</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di assemblaggio di varie tipologie di componenti e apparecchiature.</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per l’installazione di apparati e impianti.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Caratteristiche d’impiego dei sistemi di trasmissione del moto, del calore e di quelli programmabili.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Dispositivi ausiliari e di bordo per la misura delle grandezze principali.</w:t>
            </w:r>
          </w:p>
          <w:p>
            <w:pPr>
              <w:pStyle w:val="Normal"/>
              <w:widowControl w:val="false"/>
              <w:numPr>
                <w:ilvl w:val="0"/>
                <w:numId w:val="1"/>
              </w:numPr>
              <w:tabs>
                <w:tab w:val="clear" w:pos="708"/>
                <w:tab w:val="left" w:pos="395"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Processi di saldatura.</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3. Eseguire, le attività di assistenza tecnica nonché di manutenzione ordinaria e straordinaria, degliapparati, degli impianti, anche programmabili e di veicoli a motore ed assimilati, individuando eventuali guasti o anomalie,ripristinandone la funzionalità e la conformità alle specifiche tecniche, alla normativa sulla sicurezza degli utenti.</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Verificare affidabilità, disponibilità, manutenibilità e sicurezza di un sistema in momenti diversi del suo ciclo di vita.</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Utilizzare, nei contesti operativi, metodi e strumenti di misura, controllo e regolazione tipici delle attività di manutenzione dei sistemi o impianti di interesse.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Controllare e ripristinare,durante il ciclo di vita di apparati e degli impianti, la conformità del loro funzionamento alle specifiche tecniche, alle normative sulla sicurezza degli utenti e sulla salvaguardia dell’ambiente.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Applicazioni di calcolo delle probabilità e statistica al controllo della funzionalità delle apparecchiature.</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Procedure operative di smontaggio, sostituzione e ripristino di apparecchiature e impianti.</w:t>
            </w:r>
          </w:p>
          <w:p>
            <w:pPr>
              <w:pStyle w:val="Normal"/>
              <w:widowControl w:val="false"/>
              <w:numPr>
                <w:ilvl w:val="0"/>
                <w:numId w:val="1"/>
              </w:numPr>
              <w:tabs>
                <w:tab w:val="clear" w:pos="708"/>
                <w:tab w:val="left" w:pos="280"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Normativa e procedure per lo smaltimento di scorie e sostanze residue, relative ai processi di ripristino della funzionalità di apparati e impianti.</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4. Collaborare alle attività di verifica. Regolazione e collaudo, provvedendo al rilascio della certificazione secondo la normativa in vigore.</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Compilare registri di manutenzione e degli interventi effettuati.</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Effettuare prove di laboratorio attenendosi rigorosamente alle normative di settore al fine del rilascio delle certificazioni di conformità.</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Direttive e protocolli delle prove di laboratorio unificate.</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Normativa sulla certificazione dei prodotti.</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Marchi di qualità</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5. Gestire le scorte di magazzino, curando il processo di approvvigionamento.</w:t>
            </w:r>
          </w:p>
          <w:p>
            <w:pPr>
              <w:pStyle w:val="Normal"/>
              <w:widowControl w:val="false"/>
              <w:spacing w:lineRule="auto" w:line="240" w:before="0" w:after="240"/>
              <w:jc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Assicurare l’economicità della funzione degli acquisti e preservare la continuità nei processi di manutenzione.</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Mercato dei materiali/strumenti necessari per effettuare la manutenzione.</w:t>
            </w:r>
          </w:p>
        </w:tc>
      </w:tr>
      <w:tr>
        <w:trPr>
          <w:cantSplit w:val="true"/>
        </w:trPr>
        <w:tc>
          <w:tcPr>
            <w:tcW w:w="56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40" w:before="0" w:after="240"/>
              <w:textAlignment w:val="center"/>
              <w:rPr>
                <w:rFonts w:ascii="Arial" w:hAnsi="Arial" w:eastAsia="Times New Roman" w:cs="Times New Roman"/>
                <w:b/>
                <w:b/>
                <w:bCs/>
                <w:color w:val="000000"/>
                <w:sz w:val="28"/>
                <w:szCs w:val="28"/>
                <w:highlight w:val="white"/>
              </w:rPr>
            </w:pPr>
            <w:r>
              <w:rPr>
                <w:rFonts w:eastAsia="Times New Roman" w:cs="Times New Roman" w:ascii="Arial" w:hAnsi="Arial"/>
                <w:color w:val="000000"/>
                <w:sz w:val="24"/>
                <w:szCs w:val="24"/>
                <w:highlight w:val="white"/>
              </w:rPr>
              <w:t>6. Operare in sicurezza nel rispetto delle norme della salute e sicurezza nei luoghi di lavoro e per la salvaguardia dell'ambiente.</w:t>
            </w:r>
          </w:p>
          <w:p>
            <w:pPr>
              <w:pStyle w:val="Normal"/>
              <w:widowControl w:val="false"/>
              <w:spacing w:lineRule="auto" w:line="240" w:before="0" w:after="240"/>
              <w:jc w:val="center"/>
              <w:textAlignment w:val="center"/>
              <w:rPr>
                <w:rFonts w:ascii="Arial" w:hAnsi="Arial" w:eastAsia="Times New Roman" w:cs="Times New Roman"/>
                <w:b/>
                <w:b/>
                <w:bCs/>
                <w:color w:val="000000"/>
                <w:sz w:val="28"/>
                <w:szCs w:val="28"/>
                <w:highlight w:val="white"/>
              </w:rPr>
            </w:pPr>
            <w:r>
              <w:rPr>
                <w:rFonts w:eastAsia="Arial" w:cs="Arial" w:ascii="Arial" w:hAnsi="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Adottare comportamenti idonei alla prevenzione delle patologie e delle malattie professionali.</w:t>
            </w:r>
          </w:p>
        </w:tc>
        <w:tc>
          <w:tcPr>
            <w:tcW w:w="45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Norme di igiene e sicurezza del lavoro e di prevenzione degli infortuni.</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Normativa ambientale, igienico-sanitaria, sulla sicurezza e sul trattamento dei dati personali.</w:t>
            </w:r>
          </w:p>
          <w:p>
            <w:pPr>
              <w:pStyle w:val="Normal"/>
              <w:widowControl w:val="false"/>
              <w:numPr>
                <w:ilvl w:val="0"/>
                <w:numId w:val="1"/>
              </w:numPr>
              <w:tabs>
                <w:tab w:val="clear" w:pos="708"/>
                <w:tab w:val="left" w:pos="378" w:leader="none"/>
              </w:tabs>
              <w:spacing w:lineRule="auto" w:line="240" w:before="0" w:after="120"/>
              <w:ind w:left="397" w:hanging="340"/>
              <w:rPr>
                <w:rFonts w:ascii="Arial" w:hAnsi="Arial" w:eastAsia="Times New Roman" w:cs="Times New Roman"/>
                <w:color w:val="000000"/>
                <w:highlight w:val="white"/>
                <w:lang w:eastAsia="zh-CN" w:bidi="hi-IN"/>
              </w:rPr>
            </w:pPr>
            <w:r>
              <w:rPr>
                <w:rFonts w:eastAsia="Times New Roman" w:cs="Times New Roman" w:ascii="Arial" w:hAnsi="Arial"/>
                <w:color w:val="000000"/>
                <w:highlight w:val="white"/>
                <w:lang w:eastAsia="zh-CN" w:bidi="hi-IN"/>
              </w:rPr>
              <w:t>Malattie professionali e/o accidentali</w:t>
            </w:r>
          </w:p>
        </w:tc>
      </w:tr>
    </w:tbl>
    <w:p>
      <w:pPr>
        <w:pStyle w:val="Normal"/>
        <w:spacing w:lineRule="auto" w:line="240" w:before="280" w:after="280"/>
        <w:rPr>
          <w:rFonts w:ascii="Arial" w:hAnsi="Arial" w:eastAsia="Times New Roman" w:cs="Times New Roman"/>
          <w:b/>
          <w:b/>
          <w:color w:val="000000"/>
          <w:sz w:val="24"/>
          <w:szCs w:val="24"/>
          <w:highlight w:val="white"/>
          <w:u w:val="single"/>
        </w:rPr>
      </w:pPr>
      <w:r>
        <w:rPr/>
      </w:r>
    </w:p>
    <w:sectPr>
      <w:headerReference w:type="default" r:id="rId5"/>
      <w:footerReference w:type="default" r:id="rId6"/>
      <w:type w:val="nextPage"/>
      <w:pgSz w:orient="landscape" w:w="16838"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imes New Roman">
    <w:charset w:val="00"/>
    <w:family w:val="swiss"/>
    <w:pitch w:val="variable"/>
  </w:font>
  <w:font w:name="Tahoma">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jc w:val="center"/>
      <w:rPr/>
    </w:pPr>
    <w:r>
      <w:rPr/>
      <w:fldChar w:fldCharType="begin"/>
    </w:r>
    <w:r>
      <w:rPr/>
      <w:instrText> PAGE </w:instrText>
    </w:r>
    <w:r>
      <w:rPr/>
      <w:fldChar w:fldCharType="separate"/>
    </w:r>
    <w:r>
      <w:rPr/>
      <w:t>3</w:t>
    </w:r>
    <w:r>
      <w:rPr/>
      <w:fldChar w:fldCharType="end"/>
    </w:r>
  </w:p>
  <w:p>
    <w:pPr>
      <w:pStyle w:val="Normal"/>
      <w:tabs>
        <w:tab w:val="clear" w:pos="708"/>
        <w:tab w:val="center" w:pos="4819" w:leader="none"/>
        <w:tab w:val="right" w:pos="9638" w:leader="none"/>
      </w:tabs>
      <w:spacing w:before="0" w:after="0"/>
      <w:rPr>
        <w:rFonts w:eastAsia="Calibri" w:cs="Calibri"/>
        <w:color w:val="000000"/>
        <w:highlight w:val="white"/>
      </w:rPr>
    </w:pPr>
    <w:r>
      <w:rPr>
        <w:rFonts w:eastAsia="Calibri" w:cs="Calibri"/>
        <w:color w:val="000000"/>
        <w:highlight w:val="whit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0" w:after="0"/>
      <w:jc w:val="center"/>
      <w:rPr/>
    </w:pPr>
    <w:r>
      <w:rPr/>
      <w:fldChar w:fldCharType="begin"/>
    </w:r>
    <w:r>
      <w:rPr/>
      <w:instrText> PAGE </w:instrText>
    </w:r>
    <w:r>
      <w:rPr/>
      <w:fldChar w:fldCharType="separate"/>
    </w:r>
    <w:r>
      <w:rPr/>
      <w:t>22</w:t>
    </w:r>
    <w:r>
      <w:rPr/>
      <w:fldChar w:fldCharType="end"/>
    </w:r>
  </w:p>
  <w:p>
    <w:pPr>
      <w:pStyle w:val="Normal"/>
      <w:tabs>
        <w:tab w:val="clear" w:pos="708"/>
        <w:tab w:val="center" w:pos="4819" w:leader="none"/>
        <w:tab w:val="right" w:pos="9638" w:leader="none"/>
      </w:tabs>
      <w:spacing w:before="0" w:after="0"/>
      <w:rPr>
        <w:rFonts w:eastAsia="Calibri" w:cs="Calibri"/>
        <w:color w:val="000000"/>
        <w:highlight w:val="white"/>
      </w:rPr>
    </w:pPr>
    <w:r>
      <w:rPr>
        <w:rFonts w:eastAsia="Calibri" w:cs="Calibri"/>
        <w:color w:val="000000"/>
        <w:highlight w:val="whit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240" w:after="0"/>
      <w:jc w:val="center"/>
      <w:rPr>
        <w:rFonts w:eastAsia="Calibri" w:cs="Calibri"/>
        <w:color w:val="000000"/>
        <w:highlight w:val="white"/>
      </w:rPr>
    </w:pPr>
    <w:r>
      <w:rPr/>
      <w:drawing>
        <wp:inline distT="0" distB="0" distL="0" distR="0">
          <wp:extent cx="6840220" cy="2453640"/>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6840220" cy="24536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before="240" w:after="0"/>
      <w:jc w:val="center"/>
      <w:rPr>
        <w:rFonts w:eastAsia="Calibri" w:cs="Calibri"/>
        <w:color w:val="000000"/>
        <w:highlight w:val="white"/>
      </w:rPr>
    </w:pPr>
    <w:r>
      <w:rPr/>
      <w:drawing>
        <wp:inline distT="0" distB="0" distL="0" distR="0">
          <wp:extent cx="6840220" cy="2453640"/>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1"/>
                  <a:stretch>
                    <a:fillRect/>
                  </a:stretch>
                </pic:blipFill>
                <pic:spPr bwMode="auto">
                  <a:xfrm>
                    <a:off x="0" y="0"/>
                    <a:ext cx="6840220" cy="24536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lineRule="auto" w:line="276" w:before="0" w:after="200"/>
      <w:jc w:val="left"/>
      <w:textAlignment w:val="top"/>
      <w:outlineLvl w:val="0"/>
    </w:pPr>
    <w:rPr>
      <w:rFonts w:ascii="Calibri" w:hAnsi="Calibri" w:eastAsia="SimSun" w:cs="Arial Unicode MS"/>
      <w:color w:val="00000A"/>
      <w:kern w:val="0"/>
      <w:sz w:val="22"/>
      <w:szCs w:val="22"/>
      <w:lang w:eastAsia="ar-SA" w:bidi="ar-SA" w:val="it-IT"/>
    </w:rPr>
  </w:style>
  <w:style w:type="paragraph" w:styleId="Titolo1">
    <w:name w:val="Heading 1"/>
    <w:basedOn w:val="Titolo"/>
    <w:next w:val="Normal"/>
    <w:qFormat/>
    <w:pPr>
      <w:keepLines/>
      <w:widowControl w:val="false"/>
      <w:spacing w:lineRule="auto" w:line="240" w:before="480" w:after="120"/>
    </w:pPr>
    <w:rPr>
      <w:rFonts w:ascii="Liberation Serif" w:hAnsi="Liberation Serif"/>
      <w:b/>
      <w:sz w:val="48"/>
      <w:szCs w:val="48"/>
      <w:lang w:eastAsia="zh-CN" w:bidi="hi-IN"/>
    </w:rPr>
  </w:style>
  <w:style w:type="paragraph" w:styleId="Titolo2">
    <w:name w:val="Heading 2"/>
    <w:basedOn w:val="Titolo"/>
    <w:next w:val="Normal"/>
    <w:qFormat/>
    <w:pPr>
      <w:keepLines/>
      <w:widowControl w:val="false"/>
      <w:spacing w:lineRule="auto" w:line="240" w:before="360" w:after="80"/>
      <w:outlineLvl w:val="1"/>
    </w:pPr>
    <w:rPr>
      <w:rFonts w:ascii="Liberation Serif" w:hAnsi="Liberation Serif"/>
      <w:b/>
      <w:sz w:val="36"/>
      <w:szCs w:val="36"/>
      <w:lang w:eastAsia="zh-CN" w:bidi="hi-IN"/>
    </w:rPr>
  </w:style>
  <w:style w:type="paragraph" w:styleId="Titolo3">
    <w:name w:val="Heading 3"/>
    <w:basedOn w:val="Titolo"/>
    <w:next w:val="Normal"/>
    <w:qFormat/>
    <w:pPr>
      <w:keepLines/>
      <w:widowControl w:val="false"/>
      <w:spacing w:lineRule="auto" w:line="240" w:before="280" w:after="80"/>
      <w:outlineLvl w:val="2"/>
    </w:pPr>
    <w:rPr>
      <w:rFonts w:ascii="Liberation Serif" w:hAnsi="Liberation Serif"/>
      <w:b/>
      <w:lang w:eastAsia="zh-CN" w:bidi="hi-IN"/>
    </w:rPr>
  </w:style>
  <w:style w:type="paragraph" w:styleId="Titolo4">
    <w:name w:val="Heading 4"/>
    <w:basedOn w:val="Titolo"/>
    <w:qFormat/>
    <w:pPr>
      <w:spacing w:lineRule="atLeast" w:line="100" w:before="100" w:after="100"/>
      <w:outlineLvl w:val="3"/>
    </w:pPr>
    <w:rPr>
      <w:rFonts w:ascii="Times New Roman" w:hAnsi="Times New Roman" w:eastAsia="Times New Roman" w:cs="Times New Roman"/>
      <w:b/>
      <w:bCs/>
      <w:sz w:val="24"/>
      <w:szCs w:val="24"/>
    </w:rPr>
  </w:style>
  <w:style w:type="paragraph" w:styleId="Titolo5">
    <w:name w:val="Heading 5"/>
    <w:basedOn w:val="Titolo"/>
    <w:next w:val="Normal"/>
    <w:qFormat/>
    <w:pPr>
      <w:keepLines/>
      <w:widowControl w:val="false"/>
      <w:spacing w:lineRule="auto" w:line="240" w:before="220" w:after="40"/>
      <w:outlineLvl w:val="4"/>
    </w:pPr>
    <w:rPr>
      <w:rFonts w:ascii="Liberation Serif" w:hAnsi="Liberation Serif"/>
      <w:b/>
      <w:sz w:val="22"/>
      <w:szCs w:val="22"/>
      <w:lang w:eastAsia="zh-CN" w:bidi="hi-IN"/>
    </w:rPr>
  </w:style>
  <w:style w:type="paragraph" w:styleId="Titolo6">
    <w:name w:val="Heading 6"/>
    <w:basedOn w:val="Titolo"/>
    <w:next w:val="Normal"/>
    <w:qFormat/>
    <w:pPr>
      <w:keepLines/>
      <w:widowControl w:val="false"/>
      <w:spacing w:lineRule="auto" w:line="240" w:before="200" w:after="40"/>
      <w:outlineLvl w:val="5"/>
    </w:pPr>
    <w:rPr>
      <w:rFonts w:ascii="Liberation Serif" w:hAnsi="Liberation Serif"/>
      <w:b/>
      <w:sz w:val="20"/>
      <w:szCs w:val="20"/>
      <w:lang w:eastAsia="zh-CN" w:bidi="hi-IN"/>
    </w:rPr>
  </w:style>
  <w:style w:type="character" w:styleId="DefaultParagraphFont" w:default="1">
    <w:name w:val="Default Paragraph Font"/>
    <w:uiPriority w:val="1"/>
    <w:semiHidden/>
    <w:unhideWhenUsed/>
    <w:qFormat/>
    <w:rPr/>
  </w:style>
  <w:style w:type="character" w:styleId="Titolo4Carattere" w:customStyle="1">
    <w:name w:val="Titolo 4 Carattere"/>
    <w:qFormat/>
    <w:rPr>
      <w:rFonts w:ascii="Times New Roman" w:hAnsi="Times New Roman" w:eastAsia="Times New Roman" w:cs="Times New Roman"/>
      <w:b/>
      <w:bCs/>
      <w:w w:val="100"/>
      <w:position w:val="0"/>
      <w:sz w:val="24"/>
      <w:sz w:val="24"/>
      <w:szCs w:val="24"/>
      <w:effect w:val="none"/>
      <w:vertAlign w:val="baseline"/>
      <w:em w:val="none"/>
    </w:rPr>
  </w:style>
  <w:style w:type="character" w:styleId="TestofumettoCarattere" w:customStyle="1">
    <w:name w:val="Testo fumetto Carattere"/>
    <w:qFormat/>
    <w:rPr>
      <w:rFonts w:ascii="Tahoma" w:hAnsi="Tahoma" w:cs="Tahoma"/>
      <w:w w:val="100"/>
      <w:position w:val="0"/>
      <w:sz w:val="16"/>
      <w:sz w:val="16"/>
      <w:szCs w:val="16"/>
      <w:effect w:val="none"/>
      <w:vertAlign w:val="baseline"/>
      <w:em w:val="none"/>
    </w:rPr>
  </w:style>
  <w:style w:type="character" w:styleId="IntestazioneCarattere" w:customStyle="1">
    <w:name w:val="Intestazione Carattere"/>
    <w:basedOn w:val="DefaultParagraphFont"/>
    <w:qFormat/>
    <w:rPr>
      <w:w w:val="100"/>
      <w:position w:val="0"/>
      <w:sz w:val="20"/>
      <w:sz w:val="20"/>
      <w:effect w:val="none"/>
      <w:vertAlign w:val="baseline"/>
      <w:em w:val="none"/>
    </w:rPr>
  </w:style>
  <w:style w:type="character" w:styleId="PidipaginaCarattere" w:customStyle="1">
    <w:name w:val="Piè di pagina Carattere"/>
    <w:basedOn w:val="DefaultParagraphFont"/>
    <w:qFormat/>
    <w:rPr>
      <w:w w:val="100"/>
      <w:position w:val="0"/>
      <w:sz w:val="20"/>
      <w:sz w:val="20"/>
      <w:effect w:val="none"/>
      <w:vertAlign w:val="baseline"/>
      <w:em w:val="none"/>
    </w:rPr>
  </w:style>
  <w:style w:type="character" w:styleId="TestofumettoCarattere1" w:customStyle="1">
    <w:name w:val="Testo fumetto Carattere1"/>
    <w:qFormat/>
    <w:rPr>
      <w:rFonts w:ascii="Segoe UI" w:hAnsi="Segoe UI" w:eastAsia="SimSun" w:cs="Segoe UI"/>
      <w:w w:val="100"/>
      <w:position w:val="0"/>
      <w:sz w:val="18"/>
      <w:sz w:val="18"/>
      <w:szCs w:val="18"/>
      <w:effect w:val="none"/>
      <w:vertAlign w:val="baseline"/>
      <w:em w:val="none"/>
      <w:lang w:eastAsia="ar-SA"/>
    </w:rPr>
  </w:style>
  <w:style w:type="character" w:styleId="Bullets" w:customStyle="1">
    <w:name w:val="Bullets"/>
    <w:qFormat/>
    <w:rPr>
      <w:rFonts w:ascii="OpenSymbol" w:hAnsi="OpenSymbol" w:eastAsia="OpenSymbol" w:cs="OpenSymbol"/>
    </w:rPr>
  </w:style>
  <w:style w:type="character" w:styleId="Caratteridinumerazione" w:customStyle="1">
    <w:name w:val="Caratteri di numerazione"/>
    <w:qFormat/>
    <w:rPr/>
  </w:style>
  <w:style w:type="paragraph" w:styleId="Titolo" w:customStyle="1">
    <w:name w:val="Titolo"/>
    <w:basedOn w:val="Normal"/>
    <w:next w:val="Corpodeltesto"/>
    <w:qFormat/>
    <w:pPr>
      <w:keepNext w:val="true"/>
      <w:spacing w:before="240" w:after="120"/>
      <w:outlineLvl w:val="9"/>
    </w:pPr>
    <w:rPr>
      <w:rFonts w:ascii="Liberation Sans" w:hAnsi="Liberation Sans" w:eastAsia="Arial Unicode MS"/>
      <w:sz w:val="28"/>
      <w:szCs w:val="28"/>
    </w:rPr>
  </w:style>
  <w:style w:type="paragraph" w:styleId="Corpodeltesto" w:customStyle="1">
    <w:name w:val="Body Text"/>
    <w:basedOn w:val="Normal"/>
    <w:qFormat/>
    <w:pPr>
      <w:widowControl w:val="false"/>
      <w:spacing w:lineRule="atLeast" w:line="100" w:before="0" w:after="120"/>
      <w:outlineLvl w:val="9"/>
    </w:pPr>
    <w:rPr>
      <w:rFonts w:ascii="Times New Roman" w:hAnsi="Times New Roman" w:cs="Mangal"/>
      <w:sz w:val="24"/>
      <w:szCs w:val="24"/>
      <w:lang w:eastAsia="hi-IN" w:bidi="hi-IN"/>
    </w:rPr>
  </w:style>
  <w:style w:type="paragraph" w:styleId="Elenco">
    <w:name w:val="List"/>
    <w:basedOn w:val="Corpodeltesto"/>
    <w:qFormat/>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outlineLvl w:val="9"/>
    </w:pPr>
    <w:rPr>
      <w:rFonts w:cs="Mangal"/>
    </w:rPr>
  </w:style>
  <w:style w:type="paragraph" w:styleId="Caption">
    <w:name w:val="caption"/>
    <w:basedOn w:val="Normal"/>
    <w:qFormat/>
    <w:pPr>
      <w:suppressLineNumbers/>
      <w:spacing w:before="120" w:after="120"/>
      <w:outlineLvl w:val="9"/>
    </w:pPr>
    <w:rPr>
      <w:i/>
      <w:iCs/>
      <w:sz w:val="24"/>
      <w:szCs w:val="24"/>
    </w:rPr>
  </w:style>
  <w:style w:type="paragraph" w:styleId="LOnormal" w:customStyle="1">
    <w:name w:val="LO-normal"/>
    <w:qFormat/>
    <w:pPr>
      <w:widowControl/>
      <w:overflowPunct w:val="true"/>
      <w:bidi w:val="0"/>
      <w:spacing w:before="0" w:after="0"/>
      <w:jc w:val="left"/>
    </w:pPr>
    <w:rPr>
      <w:rFonts w:ascii="Liberation Serif" w:hAnsi="Liberation Serif" w:eastAsia="Arial Unicode MS" w:cs="Arial Unicode MS"/>
      <w:color w:val="00000A"/>
      <w:kern w:val="0"/>
      <w:sz w:val="20"/>
      <w:szCs w:val="20"/>
      <w:lang w:val="it-IT" w:eastAsia="zh-CN" w:bidi="hi-IN"/>
    </w:rPr>
  </w:style>
  <w:style w:type="paragraph" w:styleId="Titoloprincipale">
    <w:name w:val="Title"/>
    <w:basedOn w:val="LOnormal"/>
    <w:next w:val="Normal"/>
    <w:qFormat/>
    <w:pPr>
      <w:keepNext w:val="true"/>
      <w:keepLines/>
      <w:spacing w:before="480" w:after="120"/>
    </w:pPr>
    <w:rPr>
      <w:b/>
      <w:sz w:val="72"/>
      <w:szCs w:val="72"/>
    </w:rPr>
  </w:style>
  <w:style w:type="paragraph" w:styleId="Intestazione1" w:customStyle="1">
    <w:name w:val="Intestazione1"/>
    <w:basedOn w:val="Normal"/>
    <w:qFormat/>
    <w:pPr>
      <w:keepNext w:val="true"/>
      <w:spacing w:before="240" w:after="120"/>
      <w:outlineLvl w:val="9"/>
    </w:pPr>
    <w:rPr>
      <w:rFonts w:ascii="Arial" w:hAnsi="Arial" w:eastAsia="Microsoft YaHei" w:cs="Mangal"/>
      <w:sz w:val="28"/>
      <w:szCs w:val="28"/>
    </w:rPr>
  </w:style>
  <w:style w:type="paragraph" w:styleId="Didascalia1" w:customStyle="1">
    <w:name w:val="Didascalia1"/>
    <w:basedOn w:val="Normal"/>
    <w:qFormat/>
    <w:pPr>
      <w:suppressLineNumbers/>
      <w:spacing w:before="120" w:after="120"/>
      <w:outlineLvl w:val="9"/>
    </w:pPr>
    <w:rPr>
      <w:rFonts w:cs="Mangal"/>
      <w:i/>
      <w:iCs/>
      <w:sz w:val="24"/>
      <w:szCs w:val="24"/>
    </w:rPr>
  </w:style>
  <w:style w:type="paragraph" w:styleId="NormalWeb">
    <w:name w:val="Normal (Web)"/>
    <w:basedOn w:val="Normal"/>
    <w:qFormat/>
    <w:pPr>
      <w:suppressAutoHyphens w:val="true"/>
      <w:spacing w:lineRule="auto" w:line="240" w:before="280" w:after="119"/>
      <w:outlineLvl w:val="9"/>
    </w:pPr>
    <w:rPr>
      <w:rFonts w:ascii="Times New Roman" w:hAnsi="Times New Roman" w:eastAsia="Times New Roman" w:cs="Times New Roman"/>
      <w:sz w:val="24"/>
      <w:szCs w:val="24"/>
      <w:lang w:eastAsia="it-IT"/>
    </w:rPr>
  </w:style>
  <w:style w:type="paragraph" w:styleId="ListParagraph">
    <w:name w:val="List Paragraph"/>
    <w:basedOn w:val="Normal"/>
    <w:qFormat/>
    <w:pPr>
      <w:suppressAutoHyphens w:val="true"/>
      <w:spacing w:before="0" w:after="200"/>
      <w:ind w:left="720" w:hanging="0"/>
      <w:contextualSpacing/>
      <w:outlineLvl w:val="9"/>
    </w:pPr>
    <w:rPr>
      <w:rFonts w:eastAsia="Calibri" w:cs="Times New Roman"/>
      <w:lang w:eastAsia="en-US"/>
    </w:rPr>
  </w:style>
  <w:style w:type="paragraph" w:styleId="BalloonText">
    <w:name w:val="Balloon Text"/>
    <w:basedOn w:val="Normal"/>
    <w:qFormat/>
    <w:pPr>
      <w:spacing w:lineRule="auto" w:line="240" w:before="0" w:after="0"/>
      <w:outlineLvl w:val="9"/>
    </w:pPr>
    <w:rPr>
      <w:rFonts w:ascii="Segoe UI" w:hAnsi="Segoe UI" w:cs="Times New Roman"/>
      <w:sz w:val="18"/>
      <w:szCs w:val="18"/>
    </w:rPr>
  </w:style>
  <w:style w:type="paragraph" w:styleId="Intestazioneepidipagina">
    <w:name w:val="Intestazione e piè di pagina"/>
    <w:basedOn w:val="Normal"/>
    <w:qFormat/>
    <w:pPr/>
    <w:rPr/>
  </w:style>
  <w:style w:type="paragraph" w:styleId="Intestazione">
    <w:name w:val="Header"/>
    <w:basedOn w:val="Normal"/>
    <w:pPr>
      <w:outlineLvl w:val="9"/>
    </w:pPr>
    <w:rPr/>
  </w:style>
  <w:style w:type="paragraph" w:styleId="Pidipagina">
    <w:name w:val="Footer"/>
    <w:basedOn w:val="Normal"/>
    <w:pPr>
      <w:outlineLvl w:val="9"/>
    </w:pPr>
    <w:rPr/>
  </w:style>
  <w:style w:type="paragraph" w:styleId="Sottotitolo">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Contenutotabella" w:customStyle="1">
    <w:name w:val="Contenuto tabella"/>
    <w:basedOn w:val="Normal"/>
    <w:qFormat/>
    <w:pPr>
      <w:outlineLvl w:val="9"/>
    </w:pPr>
    <w:rPr/>
  </w:style>
  <w:style w:type="paragraph" w:styleId="Titolotabella" w:customStyle="1">
    <w:name w:val="Titolo tabella"/>
    <w:basedOn w:val="Contenutotabella"/>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d29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1568</TotalTime>
  <Application>LibreOffice/7.2.2.2$Windows_X86_64 LibreOffice_project/02b2acce88a210515b4a5bb2e46cbfb63fe97d56</Application>
  <AppVersion>15.0000</AppVersion>
  <DocSecurity>0</DocSecurity>
  <Pages>22</Pages>
  <Words>3559</Words>
  <Characters>21783</Characters>
  <CharactersWithSpaces>24942</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2020-09-17T11:41:00Z</dcterms:created>
  <dc:creator>pc</dc:creator>
  <dc:description/>
  <dc:language>it-IT</dc:language>
  <cp:lastModifiedBy/>
  <dcterms:modified xsi:type="dcterms:W3CDTF">2021-11-02T09:51:26Z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